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01ACC" w14:textId="0A5F4243" w:rsidR="00DA13D5" w:rsidRDefault="00DA13D5" w:rsidP="00DA13D5">
      <w:pPr>
        <w:rPr>
          <w:b/>
        </w:rPr>
      </w:pPr>
      <w:r w:rsidRPr="006578BF">
        <w:rPr>
          <w:b/>
        </w:rPr>
        <w:t xml:space="preserve">Szczegółowy opis przedmiotu zamówienia dla Zadania nr </w:t>
      </w:r>
      <w:r>
        <w:rPr>
          <w:b/>
        </w:rPr>
        <w:t>4:</w:t>
      </w:r>
    </w:p>
    <w:p w14:paraId="54A40B4D" w14:textId="77777777" w:rsidR="00D52D77" w:rsidRDefault="00D52D77" w:rsidP="00D52D77">
      <w:pPr>
        <w:rPr>
          <w:b/>
        </w:rPr>
      </w:pPr>
      <w:r>
        <w:rPr>
          <w:b/>
        </w:rPr>
        <w:t>57_23. Pompa infuzyjna – 15 szt.</w:t>
      </w:r>
    </w:p>
    <w:p w14:paraId="060E9B1B" w14:textId="77777777" w:rsidR="00D52D77" w:rsidRDefault="00D52D77" w:rsidP="00D52D77"/>
    <w:tbl>
      <w:tblPr>
        <w:tblW w:w="5979" w:type="dxa"/>
        <w:tblInd w:w="-4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5376"/>
      </w:tblGrid>
      <w:tr w:rsidR="00D52D77" w14:paraId="27303BD8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61043E" w14:textId="77777777" w:rsidR="00D52D77" w:rsidRDefault="00D52D77" w:rsidP="00200CBC">
            <w:pPr>
              <w:snapToGrid w:val="0"/>
              <w:spacing w:line="25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ECA986" w14:textId="77777777" w:rsidR="00D52D77" w:rsidRDefault="00D52D77" w:rsidP="00200CBC">
            <w:pPr>
              <w:snapToGrid w:val="0"/>
              <w:spacing w:line="25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Opis parametru</w:t>
            </w:r>
          </w:p>
        </w:tc>
      </w:tr>
      <w:tr w:rsidR="00D52D77" w14:paraId="5BCAC520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48FDC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F9BDA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Cechy pompy </w:t>
            </w:r>
          </w:p>
        </w:tc>
      </w:tr>
      <w:tr w:rsidR="00D52D77" w14:paraId="551CFD94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9342F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5398E2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Stosowanie strzykawek 2, 5, 6, 10, 12, 20, 30, 35, 50 ml. </w:t>
            </w:r>
          </w:p>
        </w:tc>
      </w:tr>
      <w:tr w:rsidR="00D52D77" w14:paraId="03163837" w14:textId="77777777" w:rsidTr="00200CBC">
        <w:trPr>
          <w:trHeight w:val="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8EAAF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902633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Strzykawki montowane od czoła.</w:t>
            </w:r>
          </w:p>
        </w:tc>
      </w:tr>
      <w:tr w:rsidR="00D52D77" w14:paraId="338FF9E3" w14:textId="77777777" w:rsidTr="00200CBC">
        <w:trPr>
          <w:trHeight w:val="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7469D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CA418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Ramię pompy niewychodzące poza gabaryt obudowy.</w:t>
            </w:r>
          </w:p>
        </w:tc>
      </w:tr>
      <w:tr w:rsidR="00D52D77" w14:paraId="08F86561" w14:textId="77777777" w:rsidTr="00200CBC">
        <w:trPr>
          <w:trHeight w:val="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24781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2DED60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Klawiatura numeryczna umożliwiająca szybkie i bezpieczne programowanie pompy. </w:t>
            </w:r>
          </w:p>
        </w:tc>
      </w:tr>
      <w:tr w:rsidR="00D52D77" w14:paraId="71205A8D" w14:textId="77777777" w:rsidTr="00200CBC">
        <w:trPr>
          <w:trHeight w:val="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5E420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D67B5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Wysokość pompy 12 cm </w:t>
            </w:r>
          </w:p>
        </w:tc>
      </w:tr>
      <w:tr w:rsidR="00D52D77" w14:paraId="29BBF767" w14:textId="77777777" w:rsidTr="00200CBC">
        <w:trPr>
          <w:trHeight w:val="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EBE39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1452DE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Szybkość dozowania w zakresie 0,1-2000 ml/h</w:t>
            </w:r>
          </w:p>
        </w:tc>
      </w:tr>
      <w:tr w:rsidR="00D52D77" w14:paraId="168EF07C" w14:textId="77777777" w:rsidTr="00200CBC">
        <w:trPr>
          <w:trHeight w:val="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EE6D0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97C78" w14:textId="77777777" w:rsidR="00D52D77" w:rsidRDefault="00D52D77" w:rsidP="00200CBC">
            <w:pPr>
              <w:snapToGrid w:val="0"/>
              <w:spacing w:line="256" w:lineRule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Programowanie parametrów infuzji w jednostkach:</w:t>
            </w:r>
          </w:p>
          <w:p w14:paraId="67E90FA9" w14:textId="77777777" w:rsidR="00D52D77" w:rsidRDefault="00D52D77" w:rsidP="00D52D77">
            <w:pPr>
              <w:numPr>
                <w:ilvl w:val="0"/>
                <w:numId w:val="2"/>
              </w:numPr>
              <w:suppressAutoHyphens/>
              <w:spacing w:after="0" w:line="256" w:lineRule="auto"/>
              <w:ind w:left="383" w:hanging="284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ml, L,</w:t>
            </w:r>
          </w:p>
          <w:p w14:paraId="730AC133" w14:textId="77777777" w:rsidR="00D52D77" w:rsidRDefault="00D52D77" w:rsidP="00D52D77">
            <w:pPr>
              <w:numPr>
                <w:ilvl w:val="0"/>
                <w:numId w:val="2"/>
              </w:numPr>
              <w:suppressAutoHyphens/>
              <w:spacing w:after="0" w:line="256" w:lineRule="auto"/>
              <w:ind w:left="383" w:hanging="284"/>
              <w:rPr>
                <w:rFonts w:ascii="Calibri" w:hAnsi="Calibri" w:cs="Arial"/>
                <w:color w:val="000000"/>
                <w:sz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</w:rPr>
              <w:t>ng</w:t>
            </w:r>
            <w:proofErr w:type="spellEnd"/>
            <w:r>
              <w:rPr>
                <w:rFonts w:ascii="Calibri" w:hAnsi="Calibri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</w:rPr>
              <w:t>μg</w:t>
            </w:r>
            <w:proofErr w:type="spellEnd"/>
            <w:r>
              <w:rPr>
                <w:rFonts w:ascii="Calibri" w:hAnsi="Calibri" w:cs="Arial"/>
                <w:color w:val="000000"/>
                <w:sz w:val="20"/>
              </w:rPr>
              <w:t>, mg, g,</w:t>
            </w:r>
          </w:p>
          <w:p w14:paraId="7EA2B690" w14:textId="77777777" w:rsidR="00D52D77" w:rsidRDefault="00D52D77" w:rsidP="00D52D77">
            <w:pPr>
              <w:numPr>
                <w:ilvl w:val="0"/>
                <w:numId w:val="2"/>
              </w:numPr>
              <w:suppressAutoHyphens/>
              <w:spacing w:after="0" w:line="256" w:lineRule="auto"/>
              <w:ind w:left="383" w:hanging="284"/>
              <w:rPr>
                <w:rFonts w:ascii="Calibri" w:hAnsi="Calibri" w:cs="Arial"/>
                <w:color w:val="000000"/>
                <w:sz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</w:rPr>
              <w:t>μEq</w:t>
            </w:r>
            <w:proofErr w:type="spellEnd"/>
            <w:r>
              <w:rPr>
                <w:rFonts w:ascii="Calibri" w:hAnsi="Calibri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</w:rPr>
              <w:t>mEq</w:t>
            </w:r>
            <w:proofErr w:type="spellEnd"/>
            <w:r>
              <w:rPr>
                <w:rFonts w:ascii="Calibri" w:hAnsi="Calibri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</w:rPr>
              <w:t>Eq</w:t>
            </w:r>
            <w:proofErr w:type="spellEnd"/>
            <w:r>
              <w:rPr>
                <w:rFonts w:ascii="Calibri" w:hAnsi="Calibri" w:cs="Arial"/>
                <w:color w:val="000000"/>
                <w:sz w:val="20"/>
              </w:rPr>
              <w:t>,</w:t>
            </w:r>
          </w:p>
          <w:p w14:paraId="4342A806" w14:textId="77777777" w:rsidR="00D52D77" w:rsidRDefault="00D52D77" w:rsidP="00D52D77">
            <w:pPr>
              <w:numPr>
                <w:ilvl w:val="0"/>
                <w:numId w:val="2"/>
              </w:numPr>
              <w:suppressAutoHyphens/>
              <w:spacing w:after="0" w:line="256" w:lineRule="auto"/>
              <w:ind w:left="383" w:hanging="284"/>
              <w:rPr>
                <w:rFonts w:ascii="Calibri" w:hAnsi="Calibri" w:cs="Arial"/>
                <w:color w:val="000000"/>
                <w:sz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</w:rPr>
              <w:t>mlU</w:t>
            </w:r>
            <w:proofErr w:type="spellEnd"/>
            <w:r>
              <w:rPr>
                <w:rFonts w:ascii="Calibri" w:hAnsi="Calibri" w:cs="Arial"/>
                <w:color w:val="000000"/>
                <w:sz w:val="20"/>
              </w:rPr>
              <w:t xml:space="preserve">, IU,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</w:rPr>
              <w:t>kIU</w:t>
            </w:r>
            <w:proofErr w:type="spellEnd"/>
            <w:r>
              <w:rPr>
                <w:rFonts w:ascii="Calibri" w:hAnsi="Calibri" w:cs="Arial"/>
                <w:color w:val="000000"/>
                <w:sz w:val="20"/>
              </w:rPr>
              <w:t>,</w:t>
            </w:r>
          </w:p>
          <w:p w14:paraId="6F34D5CE" w14:textId="77777777" w:rsidR="00D52D77" w:rsidRDefault="00D52D77" w:rsidP="00D52D77">
            <w:pPr>
              <w:numPr>
                <w:ilvl w:val="0"/>
                <w:numId w:val="2"/>
              </w:numPr>
              <w:suppressAutoHyphens/>
              <w:spacing w:after="0" w:line="256" w:lineRule="auto"/>
              <w:ind w:left="383" w:hanging="284"/>
              <w:rPr>
                <w:rFonts w:ascii="Calibri" w:hAnsi="Calibri" w:cs="Arial"/>
                <w:color w:val="000000"/>
                <w:sz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</w:rPr>
              <w:t>mIE</w:t>
            </w:r>
            <w:proofErr w:type="spellEnd"/>
            <w:r>
              <w:rPr>
                <w:rFonts w:ascii="Calibri" w:hAnsi="Calibri" w:cs="Arial"/>
                <w:color w:val="000000"/>
                <w:sz w:val="20"/>
              </w:rPr>
              <w:t xml:space="preserve">, IE,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</w:rPr>
              <w:t>kIE</w:t>
            </w:r>
            <w:proofErr w:type="spellEnd"/>
            <w:r>
              <w:rPr>
                <w:rFonts w:ascii="Calibri" w:hAnsi="Calibri" w:cs="Arial"/>
                <w:color w:val="000000"/>
                <w:sz w:val="20"/>
              </w:rPr>
              <w:t>,</w:t>
            </w:r>
          </w:p>
          <w:p w14:paraId="58FB21B1" w14:textId="77777777" w:rsidR="00D52D77" w:rsidRDefault="00D52D77" w:rsidP="00D52D77">
            <w:pPr>
              <w:numPr>
                <w:ilvl w:val="0"/>
                <w:numId w:val="2"/>
              </w:numPr>
              <w:suppressAutoHyphens/>
              <w:spacing w:after="0" w:line="256" w:lineRule="auto"/>
              <w:ind w:left="383" w:hanging="284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cal, kcal,</w:t>
            </w:r>
          </w:p>
          <w:p w14:paraId="354865D5" w14:textId="77777777" w:rsidR="00D52D77" w:rsidRDefault="00D52D77" w:rsidP="00D52D77">
            <w:pPr>
              <w:numPr>
                <w:ilvl w:val="0"/>
                <w:numId w:val="2"/>
              </w:numPr>
              <w:suppressAutoHyphens/>
              <w:spacing w:after="0" w:line="256" w:lineRule="auto"/>
              <w:ind w:left="383" w:hanging="284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 xml:space="preserve">J,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</w:rPr>
              <w:t>kJ</w:t>
            </w:r>
            <w:proofErr w:type="spellEnd"/>
            <w:r>
              <w:rPr>
                <w:rFonts w:ascii="Calibri" w:hAnsi="Calibri" w:cs="Arial"/>
                <w:color w:val="000000"/>
                <w:sz w:val="20"/>
              </w:rPr>
              <w:t>,</w:t>
            </w:r>
          </w:p>
          <w:p w14:paraId="357770C0" w14:textId="77777777" w:rsidR="00D52D77" w:rsidRDefault="00D52D77" w:rsidP="00D52D77">
            <w:pPr>
              <w:numPr>
                <w:ilvl w:val="0"/>
                <w:numId w:val="2"/>
              </w:numPr>
              <w:suppressAutoHyphens/>
              <w:spacing w:after="0" w:line="256" w:lineRule="auto"/>
              <w:ind w:left="380" w:hanging="284"/>
              <w:rPr>
                <w:rFonts w:ascii="Calibri" w:hAnsi="Calibri" w:cs="Arial"/>
                <w:color w:val="000000"/>
                <w:sz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</w:rPr>
              <w:t>mmol</w:t>
            </w:r>
            <w:proofErr w:type="spellEnd"/>
            <w:r>
              <w:rPr>
                <w:rFonts w:ascii="Calibri" w:hAnsi="Calibri" w:cs="Arial"/>
                <w:color w:val="000000"/>
                <w:sz w:val="20"/>
              </w:rPr>
              <w:t xml:space="preserve">, mol, </w:t>
            </w:r>
          </w:p>
          <w:p w14:paraId="422D3D75" w14:textId="77777777" w:rsidR="00D52D77" w:rsidRDefault="00D52D77" w:rsidP="00200CBC">
            <w:pPr>
              <w:spacing w:line="256" w:lineRule="auto"/>
              <w:ind w:left="99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z uwzględnieniem wagi pacjenta lub nie,</w:t>
            </w:r>
          </w:p>
          <w:p w14:paraId="5C9B84D3" w14:textId="77777777" w:rsidR="00D52D77" w:rsidRDefault="00D52D77" w:rsidP="00200CBC">
            <w:pPr>
              <w:spacing w:line="256" w:lineRule="auto"/>
              <w:ind w:left="99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z uwzględnieniem powierzchni pacjenta lub nie, </w:t>
            </w:r>
          </w:p>
          <w:p w14:paraId="55436BE4" w14:textId="77777777" w:rsidR="00D52D77" w:rsidRDefault="00D52D77" w:rsidP="00200CBC">
            <w:pPr>
              <w:spacing w:line="256" w:lineRule="auto"/>
              <w:ind w:left="360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na min, godz., dobę.</w:t>
            </w:r>
          </w:p>
        </w:tc>
      </w:tr>
      <w:tr w:rsidR="00D52D77" w14:paraId="46BFD89D" w14:textId="77777777" w:rsidTr="00200CBC">
        <w:trPr>
          <w:trHeight w:val="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C72AF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B84870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Zabezpieczenie przed gwałtowną zmianą szybkości w trakcie trwania infuzji (miareczkowanie).</w:t>
            </w:r>
          </w:p>
        </w:tc>
      </w:tr>
      <w:tr w:rsidR="00D52D77" w14:paraId="592E7106" w14:textId="77777777" w:rsidTr="00200CBC">
        <w:trPr>
          <w:trHeight w:val="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E5D667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5EFF51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Tryby dozowania:</w:t>
            </w:r>
          </w:p>
          <w:p w14:paraId="3B758E5C" w14:textId="77777777" w:rsidR="00D52D77" w:rsidRDefault="00D52D77" w:rsidP="00D52D77">
            <w:pPr>
              <w:numPr>
                <w:ilvl w:val="0"/>
                <w:numId w:val="3"/>
              </w:numPr>
              <w:suppressAutoHyphens/>
              <w:snapToGrid w:val="0"/>
              <w:spacing w:after="0" w:line="256" w:lineRule="auto"/>
              <w:rPr>
                <w:sz w:val="20"/>
              </w:rPr>
            </w:pPr>
            <w:r>
              <w:rPr>
                <w:sz w:val="20"/>
              </w:rPr>
              <w:t>Infuzja ciągła,</w:t>
            </w:r>
          </w:p>
          <w:p w14:paraId="27E32149" w14:textId="77777777" w:rsidR="00D52D77" w:rsidRDefault="00D52D77" w:rsidP="00D52D77">
            <w:pPr>
              <w:numPr>
                <w:ilvl w:val="0"/>
                <w:numId w:val="3"/>
              </w:numPr>
              <w:suppressAutoHyphens/>
              <w:snapToGrid w:val="0"/>
              <w:spacing w:after="0" w:line="256" w:lineRule="auto"/>
              <w:rPr>
                <w:sz w:val="20"/>
              </w:rPr>
            </w:pPr>
            <w:r>
              <w:rPr>
                <w:sz w:val="20"/>
              </w:rPr>
              <w:t>Infuzja bolusowa (z przerwą),</w:t>
            </w:r>
          </w:p>
          <w:p w14:paraId="4F80BA65" w14:textId="77777777" w:rsidR="00D52D77" w:rsidRDefault="00D52D77" w:rsidP="00D52D77">
            <w:pPr>
              <w:numPr>
                <w:ilvl w:val="0"/>
                <w:numId w:val="3"/>
              </w:numPr>
              <w:suppressAutoHyphens/>
              <w:snapToGrid w:val="0"/>
              <w:spacing w:after="0" w:line="256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Infuzja profilowa (min. 16 kroków infuzji),</w:t>
            </w:r>
          </w:p>
          <w:p w14:paraId="187B9C78" w14:textId="77777777" w:rsidR="00D52D77" w:rsidRDefault="00D52D77" w:rsidP="00D52D77">
            <w:pPr>
              <w:numPr>
                <w:ilvl w:val="0"/>
                <w:numId w:val="3"/>
              </w:numPr>
              <w:suppressAutoHyphens/>
              <w:snapToGrid w:val="0"/>
              <w:spacing w:after="0" w:line="256" w:lineRule="auto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Infuzja TPN (narastanie / utrzymanie / opadanie).</w:t>
            </w:r>
          </w:p>
        </w:tc>
      </w:tr>
      <w:tr w:rsidR="00D52D77" w14:paraId="7968DE5C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2CD51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B89F9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Dokładność infuzji </w:t>
            </w:r>
            <w:r>
              <w:rPr>
                <w:rFonts w:ascii="Calibri" w:hAnsi="Calibri"/>
                <w:sz w:val="20"/>
              </w:rPr>
              <w:t xml:space="preserve">± </w:t>
            </w:r>
            <w:r>
              <w:rPr>
                <w:sz w:val="20"/>
              </w:rPr>
              <w:t>2%</w:t>
            </w:r>
          </w:p>
        </w:tc>
      </w:tr>
      <w:tr w:rsidR="00D52D77" w14:paraId="5A9E3D82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76582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6E1041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Programowanie parametrów podaży Bolus-a i dawki indukcyjnej:</w:t>
            </w:r>
          </w:p>
          <w:p w14:paraId="12727A43" w14:textId="77777777" w:rsidR="00D52D77" w:rsidRDefault="00D52D77" w:rsidP="00D52D77">
            <w:pPr>
              <w:numPr>
                <w:ilvl w:val="0"/>
                <w:numId w:val="4"/>
              </w:numPr>
              <w:suppressAutoHyphens/>
              <w:snapToGrid w:val="0"/>
              <w:spacing w:after="0" w:line="256" w:lineRule="auto"/>
              <w:rPr>
                <w:sz w:val="20"/>
              </w:rPr>
            </w:pPr>
            <w:r>
              <w:rPr>
                <w:sz w:val="20"/>
              </w:rPr>
              <w:t>objętość / dawka</w:t>
            </w:r>
          </w:p>
          <w:p w14:paraId="4CC91E5A" w14:textId="77777777" w:rsidR="00D52D77" w:rsidRDefault="00D52D77" w:rsidP="00D52D77">
            <w:pPr>
              <w:numPr>
                <w:ilvl w:val="0"/>
                <w:numId w:val="4"/>
              </w:numPr>
              <w:suppressAutoHyphens/>
              <w:snapToGrid w:val="0"/>
              <w:spacing w:after="0" w:line="256" w:lineRule="auto"/>
              <w:rPr>
                <w:sz w:val="20"/>
              </w:rPr>
            </w:pPr>
            <w:r>
              <w:rPr>
                <w:sz w:val="20"/>
              </w:rPr>
              <w:t>czas lub szybkość podaży</w:t>
            </w:r>
          </w:p>
        </w:tc>
      </w:tr>
      <w:tr w:rsidR="00D52D77" w14:paraId="365A84EA" w14:textId="77777777" w:rsidTr="00D52D77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A83C4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D9A05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Automatyczna zmniejszenie szybkości podaży bolusa, w celu uniknięcia przerwania infuzji na skutek alarmu okluzji.</w:t>
            </w:r>
          </w:p>
        </w:tc>
      </w:tr>
      <w:tr w:rsidR="00D52D77" w14:paraId="09CBA4CF" w14:textId="77777777" w:rsidTr="00D52D77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A9C958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E01A0" w14:textId="77777777" w:rsidR="00D52D77" w:rsidRDefault="00D52D77" w:rsidP="00200CBC">
            <w:pPr>
              <w:snapToGrid w:val="0"/>
              <w:spacing w:line="25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Możliwość wgrania do pompy biblioteki leków złożonej z procedur dozowania zawierających co najmniej:</w:t>
            </w:r>
          </w:p>
          <w:p w14:paraId="75B103A1" w14:textId="77777777" w:rsidR="00D52D77" w:rsidRDefault="00D52D77" w:rsidP="00D52D77">
            <w:pPr>
              <w:numPr>
                <w:ilvl w:val="0"/>
                <w:numId w:val="5"/>
              </w:numPr>
              <w:suppressAutoHyphens/>
              <w:snapToGrid w:val="0"/>
              <w:spacing w:after="0" w:line="256" w:lineRule="auto"/>
              <w:rPr>
                <w:sz w:val="20"/>
              </w:rPr>
            </w:pPr>
            <w:r>
              <w:rPr>
                <w:sz w:val="20"/>
              </w:rPr>
              <w:t>nazwy leku,</w:t>
            </w:r>
          </w:p>
          <w:p w14:paraId="22E533A6" w14:textId="77777777" w:rsidR="00D52D77" w:rsidRDefault="00D52D77" w:rsidP="00D52D77">
            <w:pPr>
              <w:numPr>
                <w:ilvl w:val="0"/>
                <w:numId w:val="5"/>
              </w:numPr>
              <w:suppressAutoHyphens/>
              <w:snapToGrid w:val="0"/>
              <w:spacing w:after="0" w:line="256" w:lineRule="auto"/>
              <w:rPr>
                <w:sz w:val="20"/>
              </w:rPr>
            </w:pPr>
            <w:r>
              <w:rPr>
                <w:sz w:val="20"/>
              </w:rPr>
              <w:t>10 koncentracji leku,</w:t>
            </w:r>
          </w:p>
          <w:p w14:paraId="4DFB1A08" w14:textId="77777777" w:rsidR="00D52D77" w:rsidRDefault="00D52D77" w:rsidP="00D52D77">
            <w:pPr>
              <w:numPr>
                <w:ilvl w:val="0"/>
                <w:numId w:val="5"/>
              </w:numPr>
              <w:suppressAutoHyphens/>
              <w:snapToGrid w:val="0"/>
              <w:spacing w:after="0" w:line="256" w:lineRule="auto"/>
              <w:rPr>
                <w:sz w:val="20"/>
              </w:rPr>
            </w:pPr>
            <w:r>
              <w:rPr>
                <w:sz w:val="20"/>
              </w:rPr>
              <w:t>szybkości dozowania (dawkowanie),</w:t>
            </w:r>
          </w:p>
          <w:p w14:paraId="35227D9F" w14:textId="77777777" w:rsidR="00D52D77" w:rsidRDefault="00D52D77" w:rsidP="00D52D77">
            <w:pPr>
              <w:numPr>
                <w:ilvl w:val="0"/>
                <w:numId w:val="5"/>
              </w:numPr>
              <w:suppressAutoHyphens/>
              <w:snapToGrid w:val="0"/>
              <w:spacing w:after="0" w:line="256" w:lineRule="auto"/>
              <w:rPr>
                <w:sz w:val="20"/>
              </w:rPr>
            </w:pPr>
            <w:r>
              <w:rPr>
                <w:sz w:val="20"/>
              </w:rPr>
              <w:t>całkowitej objętości (dawki) infuzji,</w:t>
            </w:r>
          </w:p>
          <w:p w14:paraId="073A1901" w14:textId="77777777" w:rsidR="00D52D77" w:rsidRDefault="00D52D77" w:rsidP="00D52D77">
            <w:pPr>
              <w:numPr>
                <w:ilvl w:val="0"/>
                <w:numId w:val="5"/>
              </w:numPr>
              <w:suppressAutoHyphens/>
              <w:snapToGrid w:val="0"/>
              <w:spacing w:after="0" w:line="256" w:lineRule="auto"/>
              <w:rPr>
                <w:sz w:val="20"/>
              </w:rPr>
            </w:pPr>
            <w:r>
              <w:rPr>
                <w:sz w:val="20"/>
              </w:rPr>
              <w:t>parametrów bolusa, oraz dawki indukcyjnej,</w:t>
            </w:r>
          </w:p>
          <w:p w14:paraId="5ADDDF7A" w14:textId="77777777" w:rsidR="00D52D77" w:rsidRDefault="00D52D77" w:rsidP="00D52D77">
            <w:pPr>
              <w:numPr>
                <w:ilvl w:val="0"/>
                <w:numId w:val="5"/>
              </w:numPr>
              <w:suppressAutoHyphens/>
              <w:snapToGrid w:val="0"/>
              <w:spacing w:after="0" w:line="256" w:lineRule="auto"/>
              <w:rPr>
                <w:sz w:val="20"/>
              </w:rPr>
            </w:pPr>
            <w:r>
              <w:rPr>
                <w:sz w:val="20"/>
              </w:rPr>
              <w:t>limitów dla wymienionych parametrów infuzji:</w:t>
            </w:r>
          </w:p>
          <w:p w14:paraId="0CD33A4B" w14:textId="77777777" w:rsidR="00D52D77" w:rsidRDefault="00D52D77" w:rsidP="00D52D77">
            <w:pPr>
              <w:numPr>
                <w:ilvl w:val="1"/>
                <w:numId w:val="5"/>
              </w:numPr>
              <w:suppressAutoHyphens/>
              <w:snapToGrid w:val="0"/>
              <w:spacing w:after="0" w:line="256" w:lineRule="auto"/>
              <w:rPr>
                <w:sz w:val="20"/>
              </w:rPr>
            </w:pPr>
            <w:r>
              <w:rPr>
                <w:sz w:val="20"/>
              </w:rPr>
              <w:t xml:space="preserve">miękkich, ostrzegających o przekroczeniu zalecanych wartości parametrów, </w:t>
            </w:r>
          </w:p>
          <w:p w14:paraId="1E700319" w14:textId="77777777" w:rsidR="00D52D77" w:rsidRDefault="00D52D77" w:rsidP="00D52D77">
            <w:pPr>
              <w:numPr>
                <w:ilvl w:val="1"/>
                <w:numId w:val="5"/>
              </w:numPr>
              <w:suppressAutoHyphens/>
              <w:snapToGrid w:val="0"/>
              <w:spacing w:after="0" w:line="256" w:lineRule="auto"/>
              <w:rPr>
                <w:sz w:val="20"/>
              </w:rPr>
            </w:pPr>
            <w:r>
              <w:rPr>
                <w:sz w:val="20"/>
              </w:rPr>
              <w:t>twardych – blokujących możliwość wprowadzenia wartości spoza ich zakresu.</w:t>
            </w:r>
          </w:p>
          <w:p w14:paraId="4A33A43B" w14:textId="77777777" w:rsidR="00D52D77" w:rsidRDefault="00D52D77" w:rsidP="00D52D77">
            <w:pPr>
              <w:numPr>
                <w:ilvl w:val="0"/>
                <w:numId w:val="5"/>
              </w:numPr>
              <w:suppressAutoHyphens/>
              <w:snapToGrid w:val="0"/>
              <w:spacing w:after="0" w:line="256" w:lineRule="auto"/>
              <w:rPr>
                <w:sz w:val="20"/>
              </w:rPr>
            </w:pPr>
            <w:r>
              <w:rPr>
                <w:sz w:val="20"/>
              </w:rPr>
              <w:t>Notatki doradczej możliwej do odczytania przed rozpoczęciem infuzji.</w:t>
            </w:r>
          </w:p>
          <w:p w14:paraId="3A305695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Podział biblioteki na osobne grupy dedykowane poszczególnym oddziałom szpitalnym, do 40 oddziałów. Wybór oddziału dostępny w pompie.</w:t>
            </w:r>
          </w:p>
          <w:p w14:paraId="6B76623A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Podział biblioteki dedykowanej oddziałom na 40 kategorii lekowych.</w:t>
            </w:r>
          </w:p>
          <w:p w14:paraId="37A32B94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Pojemność biblioteki </w:t>
            </w:r>
            <w:r>
              <w:rPr>
                <w:color w:val="000000"/>
                <w:sz w:val="20"/>
              </w:rPr>
              <w:t>4000</w:t>
            </w:r>
            <w:r>
              <w:rPr>
                <w:sz w:val="20"/>
              </w:rPr>
              <w:t xml:space="preserve"> procedur dozowania leków.</w:t>
            </w:r>
          </w:p>
        </w:tc>
      </w:tr>
      <w:tr w:rsidR="00D52D77" w14:paraId="67EA0FC2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E5D15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C5DE32" w14:textId="77777777" w:rsidR="00D52D77" w:rsidRDefault="00D52D77" w:rsidP="00200CBC">
            <w:pPr>
              <w:tabs>
                <w:tab w:val="left" w:pos="360"/>
              </w:tabs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Dostępność polskojęzycznego oprogramowania komputerowego do tworzenia i przesyłania do pompy biblioteki leków.</w:t>
            </w:r>
          </w:p>
        </w:tc>
      </w:tr>
      <w:tr w:rsidR="00D52D77" w14:paraId="3F01E7AA" w14:textId="77777777" w:rsidTr="00D52D77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B7F63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2C0BF" w14:textId="77777777" w:rsidR="00D52D77" w:rsidRDefault="00D52D77" w:rsidP="00200CBC">
            <w:pPr>
              <w:snapToGrid w:val="0"/>
              <w:spacing w:line="256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Ekran infuzji umożliwiający wyświetlenie następujących informacji jednocześnie:</w:t>
            </w:r>
          </w:p>
          <w:p w14:paraId="20A939AD" w14:textId="77777777" w:rsidR="00D52D77" w:rsidRDefault="00D52D77" w:rsidP="00D52D77">
            <w:pPr>
              <w:numPr>
                <w:ilvl w:val="0"/>
                <w:numId w:val="6"/>
              </w:numPr>
              <w:spacing w:after="0" w:line="256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nazwa leku,</w:t>
            </w:r>
          </w:p>
          <w:p w14:paraId="171676F8" w14:textId="77777777" w:rsidR="00D52D77" w:rsidRDefault="00D52D77" w:rsidP="00D52D77">
            <w:pPr>
              <w:numPr>
                <w:ilvl w:val="0"/>
                <w:numId w:val="6"/>
              </w:numPr>
              <w:spacing w:after="0" w:line="256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koncentracja leku,</w:t>
            </w:r>
          </w:p>
          <w:p w14:paraId="53DEC8C2" w14:textId="77777777" w:rsidR="00D52D77" w:rsidRDefault="00D52D77" w:rsidP="00D52D77">
            <w:pPr>
              <w:numPr>
                <w:ilvl w:val="0"/>
                <w:numId w:val="6"/>
              </w:numPr>
              <w:spacing w:after="0" w:line="256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szybkość infuzji,</w:t>
            </w:r>
          </w:p>
          <w:p w14:paraId="24C88AF4" w14:textId="77777777" w:rsidR="00D52D77" w:rsidRDefault="00D52D77" w:rsidP="00D52D77">
            <w:pPr>
              <w:numPr>
                <w:ilvl w:val="0"/>
                <w:numId w:val="6"/>
              </w:numPr>
              <w:spacing w:after="0" w:line="256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informacji, że wartość szybkości infuzji mieści się w zalecanym zakresie lub znajduje się w zakresie limitu miękkiego dolnego lub górnego,</w:t>
            </w:r>
          </w:p>
          <w:p w14:paraId="3C876944" w14:textId="77777777" w:rsidR="00D52D77" w:rsidRDefault="00D52D77" w:rsidP="00D52D77">
            <w:pPr>
              <w:numPr>
                <w:ilvl w:val="0"/>
                <w:numId w:val="6"/>
              </w:numPr>
              <w:spacing w:after="0" w:line="256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podana dawka,</w:t>
            </w:r>
          </w:p>
          <w:p w14:paraId="31DE1924" w14:textId="77777777" w:rsidR="00D52D77" w:rsidRDefault="00D52D77" w:rsidP="00D52D77">
            <w:pPr>
              <w:numPr>
                <w:ilvl w:val="0"/>
                <w:numId w:val="6"/>
              </w:numPr>
              <w:spacing w:after="0" w:line="256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poziom limitów dla szybkości infuzji,</w:t>
            </w:r>
          </w:p>
          <w:p w14:paraId="30773FD6" w14:textId="77777777" w:rsidR="00D52D77" w:rsidRDefault="00D52D77" w:rsidP="00D52D77">
            <w:pPr>
              <w:numPr>
                <w:ilvl w:val="0"/>
                <w:numId w:val="6"/>
              </w:numPr>
              <w:spacing w:after="0" w:line="256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czas do końca dawki lub czas do końca strzykawki w formie graficznej,</w:t>
            </w:r>
          </w:p>
          <w:p w14:paraId="69D8D2B3" w14:textId="77777777" w:rsidR="00D52D77" w:rsidRDefault="00D52D77" w:rsidP="00D52D77">
            <w:pPr>
              <w:numPr>
                <w:ilvl w:val="0"/>
                <w:numId w:val="6"/>
              </w:numPr>
              <w:spacing w:after="0" w:line="256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kategorii leku wyodrębnionej kolorem,</w:t>
            </w:r>
          </w:p>
          <w:p w14:paraId="3E1814B0" w14:textId="77777777" w:rsidR="00D52D77" w:rsidRDefault="00D52D77" w:rsidP="00D52D77">
            <w:pPr>
              <w:numPr>
                <w:ilvl w:val="0"/>
                <w:numId w:val="6"/>
              </w:numPr>
              <w:spacing w:after="0" w:line="256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stan naładowania akumulatora,</w:t>
            </w:r>
          </w:p>
          <w:p w14:paraId="3CDE80D9" w14:textId="77777777" w:rsidR="00D52D77" w:rsidRDefault="00D52D77" w:rsidP="00D52D77">
            <w:pPr>
              <w:numPr>
                <w:ilvl w:val="0"/>
                <w:numId w:val="6"/>
              </w:numPr>
              <w:spacing w:after="0" w:line="256" w:lineRule="auto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aktualne ciśnienie w linii pacjenta w formie graficznej.</w:t>
            </w:r>
          </w:p>
        </w:tc>
      </w:tr>
      <w:tr w:rsidR="00D52D77" w14:paraId="2AB68D4B" w14:textId="77777777" w:rsidTr="00D52D77">
        <w:trPr>
          <w:trHeight w:val="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12EA3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700CC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Ekran dotykowy, przyspieszający wybór funkcji pompy.</w:t>
            </w:r>
          </w:p>
        </w:tc>
      </w:tr>
      <w:tr w:rsidR="00D52D77" w14:paraId="49039994" w14:textId="77777777" w:rsidTr="00D52D77">
        <w:trPr>
          <w:trHeight w:val="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74166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4C704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Kolorystyczne wyróżnienie ekranu infuzji do żywienia dojelitowego względem innych realizowanych infuzji.</w:t>
            </w:r>
          </w:p>
        </w:tc>
      </w:tr>
      <w:tr w:rsidR="00D52D77" w14:paraId="3BAA07B6" w14:textId="77777777" w:rsidTr="00D52D77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7944A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0A656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Napisy na wyświetlaczu w języku polskim.</w:t>
            </w:r>
          </w:p>
        </w:tc>
      </w:tr>
      <w:tr w:rsidR="00D52D77" w14:paraId="630CC1E2" w14:textId="77777777" w:rsidTr="00D52D77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69C20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02449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Regulowane progi ciśnienia okluzji, 12 poziomów.</w:t>
            </w:r>
          </w:p>
        </w:tc>
      </w:tr>
      <w:tr w:rsidR="00D52D77" w14:paraId="03B2666D" w14:textId="77777777" w:rsidTr="00D52D77">
        <w:trPr>
          <w:trHeight w:val="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76F23C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7E0A9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Progi ciśnienia regulowane w zakresie 75-900 mmHg.</w:t>
            </w:r>
          </w:p>
        </w:tc>
      </w:tr>
      <w:tr w:rsidR="00D52D77" w14:paraId="730A94D0" w14:textId="77777777" w:rsidTr="00D52D77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00B75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4799E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Zmiana progu ciśnienia okluzji bez przerywania infuzji.</w:t>
            </w:r>
          </w:p>
        </w:tc>
      </w:tr>
      <w:tr w:rsidR="00D52D77" w14:paraId="30C85D23" w14:textId="77777777" w:rsidTr="00D52D77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BD77C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6ADDB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Automatyczna redukcja bolusa </w:t>
            </w:r>
            <w:proofErr w:type="spellStart"/>
            <w:r>
              <w:rPr>
                <w:sz w:val="20"/>
              </w:rPr>
              <w:t>okluzyjnego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52D77" w14:paraId="19655758" w14:textId="77777777" w:rsidTr="00D52D77">
        <w:trPr>
          <w:trHeight w:val="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A9D27F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D1041" w14:textId="77777777" w:rsidR="00D52D77" w:rsidRDefault="00D52D77" w:rsidP="00200CBC">
            <w:pPr>
              <w:tabs>
                <w:tab w:val="left" w:pos="1428"/>
              </w:tabs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Priorytetowy system alarmów, zapewniający zróżnicowany sygnał dźwiękowy i świetlny, zależnie od stopnia zagrożenia.</w:t>
            </w:r>
          </w:p>
        </w:tc>
      </w:tr>
      <w:tr w:rsidR="00D52D77" w14:paraId="58791887" w14:textId="77777777" w:rsidTr="00D52D77">
        <w:trPr>
          <w:trHeight w:val="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49A9E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C7C75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Możliwość instalacji pompy w stacji dokującej:</w:t>
            </w:r>
          </w:p>
          <w:p w14:paraId="7D7F8544" w14:textId="77777777" w:rsidR="00D52D77" w:rsidRDefault="00D52D77" w:rsidP="00D52D77">
            <w:pPr>
              <w:numPr>
                <w:ilvl w:val="0"/>
                <w:numId w:val="7"/>
              </w:numPr>
              <w:suppressAutoHyphens/>
              <w:spacing w:after="0" w:line="256" w:lineRule="auto"/>
              <w:rPr>
                <w:sz w:val="20"/>
              </w:rPr>
            </w:pPr>
            <w:r>
              <w:rPr>
                <w:sz w:val="20"/>
              </w:rPr>
              <w:t>Zatrzaskowe mocowanie z automatyczną blokadą, bez konieczności przykręcania.</w:t>
            </w:r>
          </w:p>
          <w:p w14:paraId="20289025" w14:textId="77777777" w:rsidR="00D52D77" w:rsidRDefault="00D52D77" w:rsidP="00D52D77">
            <w:pPr>
              <w:numPr>
                <w:ilvl w:val="0"/>
                <w:numId w:val="7"/>
              </w:numPr>
              <w:suppressAutoHyphens/>
              <w:spacing w:after="0" w:line="256" w:lineRule="auto"/>
              <w:rPr>
                <w:sz w:val="20"/>
              </w:rPr>
            </w:pPr>
            <w:r>
              <w:rPr>
                <w:sz w:val="20"/>
              </w:rPr>
              <w:t>Alarm nieprawidłowego mocowania pomp w stacji,</w:t>
            </w:r>
          </w:p>
          <w:p w14:paraId="4F2E9A75" w14:textId="77777777" w:rsidR="00D52D77" w:rsidRDefault="00D52D77" w:rsidP="00D52D77">
            <w:pPr>
              <w:numPr>
                <w:ilvl w:val="0"/>
                <w:numId w:val="7"/>
              </w:numPr>
              <w:suppressAutoHyphens/>
              <w:spacing w:after="0" w:line="256" w:lineRule="auto"/>
              <w:rPr>
                <w:sz w:val="20"/>
              </w:rPr>
            </w:pPr>
            <w:r>
              <w:rPr>
                <w:sz w:val="20"/>
              </w:rPr>
              <w:t xml:space="preserve">Pompy mocowane niezależnie, jedna nad drugą, </w:t>
            </w:r>
          </w:p>
          <w:p w14:paraId="49E84B20" w14:textId="77777777" w:rsidR="00D52D77" w:rsidRDefault="00D52D77" w:rsidP="00D52D77">
            <w:pPr>
              <w:numPr>
                <w:ilvl w:val="0"/>
                <w:numId w:val="7"/>
              </w:numPr>
              <w:suppressAutoHyphens/>
              <w:spacing w:after="0" w:line="256" w:lineRule="auto"/>
              <w:rPr>
                <w:sz w:val="20"/>
              </w:rPr>
            </w:pPr>
            <w:r>
              <w:rPr>
                <w:sz w:val="20"/>
              </w:rPr>
              <w:t>Automatyczne przyłączenie zasilania ze stacji dokującej,</w:t>
            </w:r>
          </w:p>
          <w:p w14:paraId="6F96F58C" w14:textId="77777777" w:rsidR="00D52D77" w:rsidRDefault="00D52D77" w:rsidP="00D52D77">
            <w:pPr>
              <w:numPr>
                <w:ilvl w:val="0"/>
                <w:numId w:val="7"/>
              </w:numPr>
              <w:suppressAutoHyphens/>
              <w:spacing w:after="0" w:line="256" w:lineRule="auto"/>
              <w:rPr>
                <w:sz w:val="20"/>
              </w:rPr>
            </w:pPr>
            <w:r>
              <w:rPr>
                <w:sz w:val="20"/>
              </w:rPr>
              <w:t>Automatyczne przyłączenie portu komunikacyjnego ze stacji dokującej,</w:t>
            </w:r>
          </w:p>
          <w:p w14:paraId="0D56DD6B" w14:textId="77777777" w:rsidR="00D52D77" w:rsidRDefault="00D52D77" w:rsidP="00D52D77">
            <w:pPr>
              <w:numPr>
                <w:ilvl w:val="0"/>
                <w:numId w:val="7"/>
              </w:numPr>
              <w:suppressAutoHyphens/>
              <w:spacing w:after="0" w:line="256" w:lineRule="auto"/>
              <w:rPr>
                <w:sz w:val="20"/>
              </w:rPr>
            </w:pPr>
            <w:r>
              <w:rPr>
                <w:sz w:val="20"/>
              </w:rPr>
              <w:t xml:space="preserve">Świetlna sygnalizacja stanu pomp: infuzja, alarm, </w:t>
            </w:r>
            <w:r>
              <w:rPr>
                <w:rFonts w:ascii="Calibri" w:hAnsi="Calibri" w:cs="Arial"/>
                <w:color w:val="000000"/>
                <w:sz w:val="20"/>
              </w:rPr>
              <w:t>STOP.</w:t>
            </w:r>
          </w:p>
        </w:tc>
      </w:tr>
      <w:tr w:rsidR="00D52D77" w14:paraId="7D63123E" w14:textId="77777777" w:rsidTr="00D52D77">
        <w:trPr>
          <w:trHeight w:val="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ED7E6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D58C4" w14:textId="77777777" w:rsidR="00D52D77" w:rsidRDefault="00D52D77" w:rsidP="00200CBC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Mocowanie pojedynczej pompy do statywów lub pionowych kolumn niewymagające dołączenia jakichkolwiek części, w szczególności uchwytu mocującego, po bezpośrednim wyjęciu pompy z stacji dokującej.</w:t>
            </w:r>
          </w:p>
        </w:tc>
      </w:tr>
      <w:tr w:rsidR="00D52D77" w14:paraId="6BFCE559" w14:textId="77777777" w:rsidTr="00D52D77">
        <w:trPr>
          <w:trHeight w:val="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FD9D2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42C86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Mocowanie pomp w stacji dokującej niewymagające odłączenia jakichkolwiek części, w szczególności uchwytu mocującego, po bezpośrednim zdjęciu pompy ze statywu.</w:t>
            </w:r>
          </w:p>
        </w:tc>
      </w:tr>
      <w:tr w:rsidR="00D52D77" w14:paraId="2D65FA14" w14:textId="77777777" w:rsidTr="00D52D77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76AE9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D55EC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Uchwyt do przenoszenia pompy na stałe związany z pompą, niewymagający odłączania przy mocowaniu pomp w stacjach dokujących.</w:t>
            </w:r>
          </w:p>
        </w:tc>
      </w:tr>
      <w:tr w:rsidR="00D52D77" w14:paraId="63340BF2" w14:textId="77777777" w:rsidTr="00D52D77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7A5B6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D05CB" w14:textId="77777777" w:rsidR="00D52D77" w:rsidRDefault="00D52D77" w:rsidP="00200CBC">
            <w:pPr>
              <w:spacing w:line="256" w:lineRule="auto"/>
              <w:rPr>
                <w:strike/>
                <w:color w:val="000000"/>
                <w:kern w:val="20"/>
                <w:sz w:val="20"/>
              </w:rPr>
            </w:pPr>
            <w:r>
              <w:rPr>
                <w:color w:val="000000"/>
                <w:sz w:val="20"/>
              </w:rPr>
              <w:t xml:space="preserve">Możliwość komunikacji pomp umieszczonych w stacjach dokujących </w:t>
            </w:r>
            <w:r>
              <w:rPr>
                <w:color w:val="000000"/>
                <w:kern w:val="20"/>
                <w:sz w:val="20"/>
              </w:rPr>
              <w:t xml:space="preserve">wyposażonych w </w:t>
            </w:r>
            <w:proofErr w:type="spellStart"/>
            <w:r>
              <w:rPr>
                <w:color w:val="000000"/>
                <w:kern w:val="20"/>
                <w:sz w:val="20"/>
              </w:rPr>
              <w:t>interface</w:t>
            </w:r>
            <w:proofErr w:type="spellEnd"/>
            <w:r>
              <w:rPr>
                <w:color w:val="000000"/>
                <w:kern w:val="20"/>
                <w:sz w:val="20"/>
              </w:rPr>
              <w:t xml:space="preserve"> LAN z oprogramowaniem zewnętrznym.</w:t>
            </w:r>
          </w:p>
        </w:tc>
      </w:tr>
      <w:tr w:rsidR="00D52D77" w14:paraId="49245FBD" w14:textId="77777777" w:rsidTr="00D52D77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B1C87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24A2C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Historia infuzji – możliwość zapamiętania 2000 zdarzeń oznaczonych datą i godziną zdarzenia.</w:t>
            </w:r>
          </w:p>
        </w:tc>
      </w:tr>
      <w:tr w:rsidR="00D52D77" w14:paraId="2CAE86F6" w14:textId="77777777" w:rsidTr="00D52D77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9A2C4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5E928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Klasa ochrony II, typ CF, odporność na defibrylację, ochrona obudowy IP22</w:t>
            </w:r>
          </w:p>
        </w:tc>
      </w:tr>
      <w:tr w:rsidR="00D52D77" w14:paraId="76FD0068" w14:textId="77777777" w:rsidTr="00D52D77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7C66A1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A1178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Zasilanie pomp mocowanych poza stacją dokującą bezpośrednio z sieci energetycznej</w:t>
            </w:r>
          </w:p>
        </w:tc>
      </w:tr>
      <w:tr w:rsidR="00D52D77" w14:paraId="2F786A2A" w14:textId="77777777" w:rsidTr="00D52D77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5917C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B3E0D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Czas pracy z akumulatora 30 h przy infuzji 5ml/h</w:t>
            </w:r>
          </w:p>
        </w:tc>
      </w:tr>
      <w:tr w:rsidR="00D52D77" w14:paraId="1F9E0849" w14:textId="77777777" w:rsidTr="00D52D77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DA73F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5FB80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Czas ładowania akumulatora do 100% po pełnym rozładowaniu – poniżej 5 h</w:t>
            </w:r>
          </w:p>
        </w:tc>
      </w:tr>
      <w:tr w:rsidR="00D52D77" w14:paraId="290088F7" w14:textId="77777777" w:rsidTr="00D52D77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B0A77F" w14:textId="77777777" w:rsidR="00D52D77" w:rsidRDefault="00D52D77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677D8" w14:textId="77777777" w:rsidR="00D52D77" w:rsidRDefault="00D52D77" w:rsidP="00200CBC">
            <w:p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Waga &lt; 2,5 kg.</w:t>
            </w:r>
          </w:p>
        </w:tc>
      </w:tr>
    </w:tbl>
    <w:p w14:paraId="14932A00" w14:textId="77777777" w:rsidR="00D52D77" w:rsidRDefault="00D52D77" w:rsidP="00D52D77"/>
    <w:p w14:paraId="6CBEF34D" w14:textId="77777777" w:rsidR="00D52D77" w:rsidRDefault="00D52D77" w:rsidP="00D52D77"/>
    <w:p w14:paraId="5723F6BD" w14:textId="77777777" w:rsidR="00BD1857" w:rsidRDefault="00BD1857"/>
    <w:sectPr w:rsidR="00BD1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1A424" w14:textId="77777777" w:rsidR="00375005" w:rsidRDefault="00375005" w:rsidP="00375005">
      <w:pPr>
        <w:spacing w:after="0" w:line="240" w:lineRule="auto"/>
      </w:pPr>
      <w:r>
        <w:separator/>
      </w:r>
    </w:p>
  </w:endnote>
  <w:endnote w:type="continuationSeparator" w:id="0">
    <w:p w14:paraId="09FE99C5" w14:textId="77777777" w:rsidR="00375005" w:rsidRDefault="00375005" w:rsidP="0037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78097" w14:textId="77777777" w:rsidR="00375005" w:rsidRDefault="003750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4C241" w14:textId="77777777" w:rsidR="00375005" w:rsidRDefault="003750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5E1E9" w14:textId="77777777" w:rsidR="00375005" w:rsidRDefault="00375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4C046" w14:textId="77777777" w:rsidR="00375005" w:rsidRDefault="00375005" w:rsidP="00375005">
      <w:pPr>
        <w:spacing w:after="0" w:line="240" w:lineRule="auto"/>
      </w:pPr>
      <w:r>
        <w:separator/>
      </w:r>
    </w:p>
  </w:footnote>
  <w:footnote w:type="continuationSeparator" w:id="0">
    <w:p w14:paraId="1DB1F84D" w14:textId="77777777" w:rsidR="00375005" w:rsidRDefault="00375005" w:rsidP="0037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F33BF" w14:textId="77777777" w:rsidR="00375005" w:rsidRDefault="003750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A2069" w14:textId="77777777" w:rsidR="00375005" w:rsidRPr="008F5C90" w:rsidRDefault="00375005" w:rsidP="00375005">
    <w:pPr>
      <w:pStyle w:val="Nagwek"/>
      <w:rPr>
        <w:rFonts w:ascii="Cambria" w:hAnsi="Cambria"/>
        <w:sz w:val="20"/>
        <w:szCs w:val="20"/>
      </w:rPr>
    </w:pPr>
    <w:bookmarkStart w:id="0" w:name="_Hlk19793215"/>
    <w:bookmarkStart w:id="1" w:name="_Hlk19793216"/>
    <w:bookmarkStart w:id="2" w:name="_Hlk20480229"/>
    <w:r w:rsidRPr="00F74AB4">
      <w:rPr>
        <w:rFonts w:ascii="Cambria" w:eastAsia="Times New Roman" w:hAnsi="Cambria"/>
        <w:sz w:val="20"/>
        <w:szCs w:val="20"/>
        <w:lang w:eastAsia="pl-PL"/>
      </w:rPr>
      <w:t>Numer postępowania</w:t>
    </w:r>
    <w:r>
      <w:rPr>
        <w:rFonts w:ascii="Cambria" w:eastAsia="Times New Roman" w:hAnsi="Cambria"/>
        <w:sz w:val="20"/>
        <w:szCs w:val="20"/>
        <w:lang w:val="en-US" w:eastAsia="pl-PL"/>
      </w:rPr>
      <w:t xml:space="preserve"> PN/6/2019</w:t>
    </w:r>
  </w:p>
  <w:p w14:paraId="0009204A" w14:textId="77777777" w:rsidR="00375005" w:rsidRDefault="00375005">
    <w:pPr>
      <w:pStyle w:val="Nagwek"/>
    </w:pPr>
    <w:bookmarkStart w:id="3" w:name="_GoBack"/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42D0" w14:textId="77777777" w:rsidR="00375005" w:rsidRDefault="003750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5574"/>
    <w:multiLevelType w:val="hybridMultilevel"/>
    <w:tmpl w:val="0234E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E1ED1"/>
    <w:multiLevelType w:val="hybridMultilevel"/>
    <w:tmpl w:val="34F61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FC3270"/>
    <w:multiLevelType w:val="hybridMultilevel"/>
    <w:tmpl w:val="7D689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23E22"/>
    <w:multiLevelType w:val="hybridMultilevel"/>
    <w:tmpl w:val="A2868F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A060B1"/>
    <w:multiLevelType w:val="hybridMultilevel"/>
    <w:tmpl w:val="58DEB486"/>
    <w:lvl w:ilvl="0" w:tplc="609A6A6E">
      <w:start w:val="1"/>
      <w:numFmt w:val="decimal"/>
      <w:suff w:val="space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>
      <w:start w:val="1"/>
      <w:numFmt w:val="lowerRoman"/>
      <w:lvlText w:val="%3."/>
      <w:lvlJc w:val="right"/>
      <w:pPr>
        <w:ind w:left="2156" w:hanging="180"/>
      </w:pPr>
    </w:lvl>
    <w:lvl w:ilvl="3" w:tplc="0415000F">
      <w:start w:val="1"/>
      <w:numFmt w:val="decimal"/>
      <w:lvlText w:val="%4."/>
      <w:lvlJc w:val="left"/>
      <w:pPr>
        <w:ind w:left="2876" w:hanging="360"/>
      </w:pPr>
    </w:lvl>
    <w:lvl w:ilvl="4" w:tplc="04150019">
      <w:start w:val="1"/>
      <w:numFmt w:val="lowerLetter"/>
      <w:lvlText w:val="%5."/>
      <w:lvlJc w:val="left"/>
      <w:pPr>
        <w:ind w:left="3596" w:hanging="360"/>
      </w:pPr>
    </w:lvl>
    <w:lvl w:ilvl="5" w:tplc="0415001B">
      <w:start w:val="1"/>
      <w:numFmt w:val="lowerRoman"/>
      <w:lvlText w:val="%6."/>
      <w:lvlJc w:val="right"/>
      <w:pPr>
        <w:ind w:left="4316" w:hanging="180"/>
      </w:pPr>
    </w:lvl>
    <w:lvl w:ilvl="6" w:tplc="0415000F">
      <w:start w:val="1"/>
      <w:numFmt w:val="decimal"/>
      <w:lvlText w:val="%7."/>
      <w:lvlJc w:val="left"/>
      <w:pPr>
        <w:ind w:left="5036" w:hanging="360"/>
      </w:pPr>
    </w:lvl>
    <w:lvl w:ilvl="7" w:tplc="04150019">
      <w:start w:val="1"/>
      <w:numFmt w:val="lowerLetter"/>
      <w:lvlText w:val="%8."/>
      <w:lvlJc w:val="left"/>
      <w:pPr>
        <w:ind w:left="5756" w:hanging="360"/>
      </w:pPr>
    </w:lvl>
    <w:lvl w:ilvl="8" w:tplc="0415001B">
      <w:start w:val="1"/>
      <w:numFmt w:val="lowerRoman"/>
      <w:lvlText w:val="%9."/>
      <w:lvlJc w:val="right"/>
      <w:pPr>
        <w:ind w:left="6476" w:hanging="180"/>
      </w:pPr>
    </w:lvl>
  </w:abstractNum>
  <w:abstractNum w:abstractNumId="5" w15:restartNumberingAfterBreak="0">
    <w:nsid w:val="660D5E0E"/>
    <w:multiLevelType w:val="hybridMultilevel"/>
    <w:tmpl w:val="14E25F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D1636D"/>
    <w:multiLevelType w:val="hybridMultilevel"/>
    <w:tmpl w:val="4BBCF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57"/>
    <w:rsid w:val="00375005"/>
    <w:rsid w:val="00A64B2A"/>
    <w:rsid w:val="00BD1857"/>
    <w:rsid w:val="00D52D77"/>
    <w:rsid w:val="00DA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B9E9"/>
  <w15:chartTrackingRefBased/>
  <w15:docId w15:val="{1703EB1A-B53A-4721-945F-A158BC9D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D7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7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005"/>
  </w:style>
  <w:style w:type="paragraph" w:styleId="Stopka">
    <w:name w:val="footer"/>
    <w:basedOn w:val="Normalny"/>
    <w:link w:val="StopkaZnak"/>
    <w:uiPriority w:val="99"/>
    <w:unhideWhenUsed/>
    <w:rsid w:val="0037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3864</Characters>
  <Application>Microsoft Office Word</Application>
  <DocSecurity>0</DocSecurity>
  <Lines>32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5</cp:revision>
  <dcterms:created xsi:type="dcterms:W3CDTF">2019-11-29T13:19:00Z</dcterms:created>
  <dcterms:modified xsi:type="dcterms:W3CDTF">2019-11-29T13:25:00Z</dcterms:modified>
</cp:coreProperties>
</file>