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1ACC" w14:textId="0A5F4243" w:rsidR="00DA13D5" w:rsidRDefault="00DA13D5" w:rsidP="00DA13D5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4:</w:t>
      </w:r>
    </w:p>
    <w:p w14:paraId="54A40B4D" w14:textId="77777777" w:rsidR="00D52D77" w:rsidRDefault="00D52D77" w:rsidP="00D52D77">
      <w:pPr>
        <w:rPr>
          <w:b/>
        </w:rPr>
      </w:pPr>
      <w:r>
        <w:rPr>
          <w:b/>
        </w:rPr>
        <w:t>57_23. Pompa infuzyjna – 15 szt.</w:t>
      </w:r>
    </w:p>
    <w:p w14:paraId="060E9B1B" w14:textId="77777777" w:rsidR="00D52D77" w:rsidRDefault="00D52D77" w:rsidP="00D52D77"/>
    <w:tbl>
      <w:tblPr>
        <w:tblW w:w="5979" w:type="dxa"/>
        <w:tblInd w:w="-41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5376"/>
      </w:tblGrid>
      <w:tr w:rsidR="00D52D77" w14:paraId="27303BD8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1043E" w14:textId="77777777" w:rsidR="00D52D77" w:rsidRDefault="00D52D77" w:rsidP="00200CBC">
            <w:pPr>
              <w:snapToGrid w:val="0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CA986" w14:textId="77777777" w:rsidR="00D52D77" w:rsidRDefault="00D52D77" w:rsidP="00200CBC">
            <w:pPr>
              <w:snapToGrid w:val="0"/>
              <w:spacing w:line="25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Opis parametru</w:t>
            </w:r>
          </w:p>
        </w:tc>
      </w:tr>
      <w:tr w:rsidR="00D52D77" w14:paraId="5BCAC520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48FDC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F9BDA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Cechy pompy </w:t>
            </w:r>
          </w:p>
        </w:tc>
      </w:tr>
      <w:tr w:rsidR="00D52D77" w14:paraId="551CFD94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9342F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5398E2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Stosowanie strzykawek 2, 5, 6, 10, 12, 20, 30, 35, 50 ml. </w:t>
            </w:r>
          </w:p>
        </w:tc>
      </w:tr>
      <w:tr w:rsidR="00D52D77" w14:paraId="03163837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8EAAF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02633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Strzykawki montowane od czoła.</w:t>
            </w:r>
          </w:p>
        </w:tc>
      </w:tr>
      <w:tr w:rsidR="00D52D77" w14:paraId="338FF9E3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7469D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CA418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Ramię pompy niewychodzące poza gabaryt obudowy.</w:t>
            </w:r>
          </w:p>
        </w:tc>
      </w:tr>
      <w:tr w:rsidR="00D52D77" w14:paraId="08F86561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24781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DED60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Klawiatura numeryczna umożliwiająca szybkie i bezpieczne programowanie pompy. </w:t>
            </w:r>
          </w:p>
        </w:tc>
      </w:tr>
      <w:tr w:rsidR="00D52D77" w14:paraId="71205A8D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5E420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D67B5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Wysokość pompy 12 cm </w:t>
            </w:r>
          </w:p>
        </w:tc>
      </w:tr>
      <w:tr w:rsidR="00D52D77" w14:paraId="29BBF767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EBE39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452DE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Szybkość dozowania w zakresie 0,1-2000 ml/h</w:t>
            </w:r>
          </w:p>
        </w:tc>
      </w:tr>
      <w:tr w:rsidR="00D52D77" w14:paraId="168EF07C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EE6D0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97C78" w14:textId="77777777" w:rsidR="00D52D77" w:rsidRDefault="00D52D77" w:rsidP="00200CBC">
            <w:pPr>
              <w:snapToGrid w:val="0"/>
              <w:spacing w:line="256" w:lineRule="auto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Programowanie parametrów infuzji w jednostkach:</w:t>
            </w:r>
          </w:p>
          <w:p w14:paraId="67E90FA9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ml, L,</w:t>
            </w:r>
          </w:p>
          <w:p w14:paraId="730AC133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ng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μg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>, mg, g,</w:t>
            </w:r>
          </w:p>
          <w:p w14:paraId="7EA2B690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μEq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mEq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Eq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>,</w:t>
            </w:r>
          </w:p>
          <w:p w14:paraId="4342A806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mlU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 xml:space="preserve">, IU,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kIU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>,</w:t>
            </w:r>
          </w:p>
          <w:p w14:paraId="6F34D5CE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mIE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 xml:space="preserve">, IE,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kIE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>,</w:t>
            </w:r>
          </w:p>
          <w:p w14:paraId="58FB21B1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cal, kcal,</w:t>
            </w:r>
          </w:p>
          <w:p w14:paraId="354865D5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3" w:hanging="284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J,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kJ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>,</w:t>
            </w:r>
          </w:p>
          <w:p w14:paraId="357770C0" w14:textId="77777777" w:rsidR="00D52D77" w:rsidRDefault="00D52D77" w:rsidP="00D52D77">
            <w:pPr>
              <w:numPr>
                <w:ilvl w:val="0"/>
                <w:numId w:val="2"/>
              </w:numPr>
              <w:suppressAutoHyphens/>
              <w:spacing w:after="0" w:line="256" w:lineRule="auto"/>
              <w:ind w:left="380" w:hanging="284"/>
              <w:rPr>
                <w:rFonts w:ascii="Calibri" w:hAnsi="Calibri" w:cs="Arial"/>
                <w:color w:val="000000"/>
                <w:sz w:val="2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</w:rPr>
              <w:t>mmol</w:t>
            </w:r>
            <w:proofErr w:type="spellEnd"/>
            <w:r>
              <w:rPr>
                <w:rFonts w:ascii="Calibri" w:hAnsi="Calibri" w:cs="Arial"/>
                <w:color w:val="000000"/>
                <w:sz w:val="20"/>
              </w:rPr>
              <w:t xml:space="preserve">, mol, </w:t>
            </w:r>
          </w:p>
          <w:p w14:paraId="422D3D75" w14:textId="77777777" w:rsidR="00D52D77" w:rsidRDefault="00D52D77" w:rsidP="00200CBC">
            <w:pPr>
              <w:spacing w:line="256" w:lineRule="auto"/>
              <w:ind w:left="99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z uwzględnieniem wagi pacjenta lub nie,</w:t>
            </w:r>
          </w:p>
          <w:p w14:paraId="5C9B84D3" w14:textId="77777777" w:rsidR="00D52D77" w:rsidRDefault="00D52D77" w:rsidP="00200CBC">
            <w:pPr>
              <w:spacing w:line="256" w:lineRule="auto"/>
              <w:ind w:left="99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z uwzględnieniem powierzchni pacjenta lub nie, </w:t>
            </w:r>
          </w:p>
          <w:p w14:paraId="55436BE4" w14:textId="77777777" w:rsidR="00D52D77" w:rsidRDefault="00D52D77" w:rsidP="00200CBC">
            <w:pPr>
              <w:spacing w:line="256" w:lineRule="auto"/>
              <w:ind w:left="360"/>
              <w:rPr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na min, godz., dobę.</w:t>
            </w:r>
          </w:p>
        </w:tc>
      </w:tr>
      <w:tr w:rsidR="00D52D77" w14:paraId="46BFD89D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C72AF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84870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Zabezpieczenie przed gwałtowną zmianą szybkości w trakcie trwania infuzji (miareczkowanie).</w:t>
            </w:r>
          </w:p>
        </w:tc>
      </w:tr>
      <w:tr w:rsidR="00D52D77" w14:paraId="592E7106" w14:textId="77777777" w:rsidTr="00200CBC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5D667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FF51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Tryby dozowania:</w:t>
            </w:r>
          </w:p>
          <w:p w14:paraId="3B758E5C" w14:textId="77777777" w:rsidR="00D52D77" w:rsidRDefault="00D52D77" w:rsidP="00D52D77">
            <w:pPr>
              <w:numPr>
                <w:ilvl w:val="0"/>
                <w:numId w:val="3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Infuzja ciągła,</w:t>
            </w:r>
          </w:p>
          <w:p w14:paraId="27E32149" w14:textId="77777777" w:rsidR="00D52D77" w:rsidRDefault="00D52D77" w:rsidP="00D52D77">
            <w:pPr>
              <w:numPr>
                <w:ilvl w:val="0"/>
                <w:numId w:val="3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Infuzja bolusowa (z przerwą),</w:t>
            </w:r>
          </w:p>
          <w:p w14:paraId="4F80BA65" w14:textId="77777777" w:rsidR="00D52D77" w:rsidRDefault="00D52D77" w:rsidP="00D52D77">
            <w:pPr>
              <w:numPr>
                <w:ilvl w:val="0"/>
                <w:numId w:val="3"/>
              </w:numPr>
              <w:suppressAutoHyphens/>
              <w:snapToGrid w:val="0"/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Infuzja profilowa (min. 16 kroków infuzji),</w:t>
            </w:r>
          </w:p>
          <w:p w14:paraId="187B9C78" w14:textId="77777777" w:rsidR="00D52D77" w:rsidRDefault="00D52D77" w:rsidP="00D52D77">
            <w:pPr>
              <w:numPr>
                <w:ilvl w:val="0"/>
                <w:numId w:val="3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Infuzja TPN (narastanie / utrzymanie / opadanie).</w:t>
            </w:r>
          </w:p>
        </w:tc>
      </w:tr>
      <w:tr w:rsidR="00D52D77" w14:paraId="7968DE5C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B2CD51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B89F9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Dokładność infuzji </w:t>
            </w:r>
            <w:r>
              <w:rPr>
                <w:rFonts w:ascii="Calibri" w:hAnsi="Calibri"/>
                <w:sz w:val="20"/>
              </w:rPr>
              <w:t xml:space="preserve">± </w:t>
            </w:r>
            <w:r>
              <w:rPr>
                <w:sz w:val="20"/>
              </w:rPr>
              <w:t>2%</w:t>
            </w:r>
          </w:p>
        </w:tc>
      </w:tr>
      <w:tr w:rsidR="00D52D77" w14:paraId="5A9E3D82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76582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E1041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Programowanie parametrów podaży Bolus-a i dawki indukcyjnej:</w:t>
            </w:r>
          </w:p>
          <w:p w14:paraId="12727A43" w14:textId="77777777" w:rsidR="00D52D77" w:rsidRDefault="00D52D77" w:rsidP="00D52D77">
            <w:pPr>
              <w:numPr>
                <w:ilvl w:val="0"/>
                <w:numId w:val="4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objętość / dawka</w:t>
            </w:r>
          </w:p>
          <w:p w14:paraId="4CC91E5A" w14:textId="77777777" w:rsidR="00D52D77" w:rsidRDefault="00D52D77" w:rsidP="00D52D77">
            <w:pPr>
              <w:numPr>
                <w:ilvl w:val="0"/>
                <w:numId w:val="4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czas lub szybkość podaży</w:t>
            </w:r>
          </w:p>
        </w:tc>
      </w:tr>
      <w:tr w:rsidR="00D52D77" w14:paraId="365A84EA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A83C4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9A05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Automatyczna zmniejszenie szybkości podaży bolusa, w celu uniknięcia przerwania infuzji na skutek alarmu okluzji.</w:t>
            </w:r>
          </w:p>
        </w:tc>
      </w:tr>
      <w:tr w:rsidR="00D52D77" w14:paraId="09CBA4CF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9C958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E01A0" w14:textId="77777777" w:rsidR="00D52D77" w:rsidRDefault="00D52D77" w:rsidP="00200CBC">
            <w:pPr>
              <w:snapToGrid w:val="0"/>
              <w:spacing w:line="25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Możliwość wgrania do pompy biblioteki leków złożonej z procedur dozowania zawierających co najmniej:</w:t>
            </w:r>
          </w:p>
          <w:p w14:paraId="75B103A1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nazwy leku,</w:t>
            </w:r>
          </w:p>
          <w:p w14:paraId="22E533A6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10 koncentracji leku,</w:t>
            </w:r>
          </w:p>
          <w:p w14:paraId="4DFB1A08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szybkości dozowania (dawkowanie),</w:t>
            </w:r>
          </w:p>
          <w:p w14:paraId="35227D9F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całkowitej objętości (dawki) infuzji,</w:t>
            </w:r>
          </w:p>
          <w:p w14:paraId="073A1901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parametrów bolusa, oraz dawki indukcyjnej,</w:t>
            </w:r>
          </w:p>
          <w:p w14:paraId="5ADDDF7A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limitów dla wymienionych parametrów infuzji:</w:t>
            </w:r>
          </w:p>
          <w:p w14:paraId="0CD33A4B" w14:textId="77777777" w:rsidR="00D52D77" w:rsidRDefault="00D52D77" w:rsidP="00D52D77">
            <w:pPr>
              <w:numPr>
                <w:ilvl w:val="1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miękkich, ostrzegających o przekroczeniu zalecanych wartości parametrów, </w:t>
            </w:r>
          </w:p>
          <w:p w14:paraId="1E700319" w14:textId="77777777" w:rsidR="00D52D77" w:rsidRDefault="00D52D77" w:rsidP="00D52D77">
            <w:pPr>
              <w:numPr>
                <w:ilvl w:val="1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twardych – blokujących możliwość wprowadzenia wartości spoza ich zakresu.</w:t>
            </w:r>
          </w:p>
          <w:p w14:paraId="4A33A43B" w14:textId="77777777" w:rsidR="00D52D77" w:rsidRDefault="00D52D77" w:rsidP="00D52D77">
            <w:pPr>
              <w:numPr>
                <w:ilvl w:val="0"/>
                <w:numId w:val="5"/>
              </w:numPr>
              <w:suppressAutoHyphens/>
              <w:snapToGrid w:val="0"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Notatki doradczej możliwej do odczytania przed rozpoczęciem infuzji.</w:t>
            </w:r>
          </w:p>
          <w:p w14:paraId="3A305695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Podział biblioteki na osobne grupy dedykowane poszczególnym oddziałom szpitalnym, do 40 oddziałów. Wybór oddziału dostępny w pompie.</w:t>
            </w:r>
          </w:p>
          <w:p w14:paraId="6B76623A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Podział biblioteki dedykowanej oddziałom na 40 kategorii lekowych.</w:t>
            </w:r>
          </w:p>
          <w:p w14:paraId="37A32B94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Pojemność biblioteki </w:t>
            </w:r>
            <w:r>
              <w:rPr>
                <w:color w:val="000000"/>
                <w:sz w:val="20"/>
              </w:rPr>
              <w:t>4000</w:t>
            </w:r>
            <w:r>
              <w:rPr>
                <w:sz w:val="20"/>
              </w:rPr>
              <w:t xml:space="preserve"> procedur dozowania leków.</w:t>
            </w:r>
          </w:p>
        </w:tc>
      </w:tr>
      <w:tr w:rsidR="00D52D77" w14:paraId="67EA0FC2" w14:textId="77777777" w:rsidTr="00200CBC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E5D15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C5DE32" w14:textId="77777777" w:rsidR="00D52D77" w:rsidRDefault="00D52D77" w:rsidP="00200CBC">
            <w:pPr>
              <w:tabs>
                <w:tab w:val="left" w:pos="360"/>
              </w:tabs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Dostępność polskojęzycznego oprogramowania komputerowego do tworzenia i przesyłania do pompy biblioteki leków.</w:t>
            </w:r>
          </w:p>
        </w:tc>
      </w:tr>
      <w:tr w:rsidR="00D52D77" w14:paraId="3F01E7AA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7F63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C0BF" w14:textId="77777777" w:rsidR="00D52D77" w:rsidRDefault="00D52D77" w:rsidP="00200CBC">
            <w:pPr>
              <w:snapToGrid w:val="0"/>
              <w:spacing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Ekran infuzji umożliwiający wyświetlenie następujących informacji jednocześnie:</w:t>
            </w:r>
          </w:p>
          <w:p w14:paraId="20A939AD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nazwa leku,</w:t>
            </w:r>
          </w:p>
          <w:p w14:paraId="171676F8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koncentracja leku,</w:t>
            </w:r>
          </w:p>
          <w:p w14:paraId="53DEC8C2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szybkość infuzji,</w:t>
            </w:r>
          </w:p>
          <w:p w14:paraId="24C88AF4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informacji, że wartość szybkości infuzji mieści się w zalecanym zakresie lub znajduje się w zakresie limitu miękkiego dolnego lub górnego,</w:t>
            </w:r>
          </w:p>
          <w:p w14:paraId="3C876944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podana dawka,</w:t>
            </w:r>
          </w:p>
          <w:p w14:paraId="31DE1924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poziom limitów dla szybkości infuzji,</w:t>
            </w:r>
          </w:p>
          <w:p w14:paraId="30773FD6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czas do końca dawki lub czas do końca strzykawki w formie graficznej,</w:t>
            </w:r>
          </w:p>
          <w:p w14:paraId="69D8D2B3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kategorii leku wyodrębnionej kolorem,</w:t>
            </w:r>
          </w:p>
          <w:p w14:paraId="3E1814B0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stan naładowania akumulatora,</w:t>
            </w:r>
          </w:p>
          <w:p w14:paraId="3CDE80D9" w14:textId="77777777" w:rsidR="00D52D77" w:rsidRDefault="00D52D77" w:rsidP="00D52D77">
            <w:pPr>
              <w:numPr>
                <w:ilvl w:val="0"/>
                <w:numId w:val="6"/>
              </w:numPr>
              <w:spacing w:after="0" w:line="256" w:lineRule="auto"/>
              <w:rPr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aktualne ciśnienie w linii pacjenta w formie graficznej.</w:t>
            </w:r>
          </w:p>
        </w:tc>
      </w:tr>
      <w:tr w:rsidR="00D52D77" w14:paraId="2AB68D4B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12EA3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700CC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Ekran dotykowy, przyspieszający wybór funkcji pompy.</w:t>
            </w:r>
          </w:p>
        </w:tc>
      </w:tr>
      <w:tr w:rsidR="00D52D77" w14:paraId="49039994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74166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C704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Kolorystyczne wyróżnienie ekranu infuzji do żywienia dojelitowego względem innych realizowanych infuzji.</w:t>
            </w:r>
          </w:p>
        </w:tc>
      </w:tr>
      <w:tr w:rsidR="00D52D77" w14:paraId="3BAA07B6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27944A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A656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Napisy na wyświetlaczu w języku polskim.</w:t>
            </w:r>
          </w:p>
        </w:tc>
      </w:tr>
      <w:tr w:rsidR="00D52D77" w14:paraId="630CC1E2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69C20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02449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Regulowane progi ciśnienia okluzji, 12 poziomów.</w:t>
            </w:r>
          </w:p>
        </w:tc>
      </w:tr>
      <w:tr w:rsidR="00D52D77" w14:paraId="03B2666D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6F23C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E0A9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Progi ciśnienia regulowane w zakresie 75-900 mmHg.</w:t>
            </w:r>
          </w:p>
        </w:tc>
      </w:tr>
      <w:tr w:rsidR="00D52D77" w14:paraId="730A94D0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00B75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4799E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Zmiana progu ciśnienia okluzji bez przerywania infuzji.</w:t>
            </w:r>
          </w:p>
        </w:tc>
      </w:tr>
      <w:tr w:rsidR="00D52D77" w14:paraId="30C85D23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BD77C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6ADDB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 xml:space="preserve">Automatyczna redukcja bolusa </w:t>
            </w:r>
            <w:proofErr w:type="spellStart"/>
            <w:r>
              <w:rPr>
                <w:sz w:val="20"/>
              </w:rPr>
              <w:t>okluzyjnego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52D77" w14:paraId="19655758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A9D27F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D1041" w14:textId="77777777" w:rsidR="00D52D77" w:rsidRDefault="00D52D77" w:rsidP="00200CBC">
            <w:pPr>
              <w:tabs>
                <w:tab w:val="left" w:pos="1428"/>
              </w:tabs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Priorytetowy system alarmów, zapewniający zróżnicowany sygnał dźwiękowy i świetlny, zależnie od stopnia zagrożenia.</w:t>
            </w:r>
          </w:p>
        </w:tc>
      </w:tr>
      <w:tr w:rsidR="00D52D77" w14:paraId="58791887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49A9E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7C75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Możliwość instalacji pompy w stacji dokującej:</w:t>
            </w:r>
          </w:p>
          <w:p w14:paraId="7D7F8544" w14:textId="77777777" w:rsidR="00D52D77" w:rsidRDefault="00D52D77" w:rsidP="00D52D77">
            <w:pPr>
              <w:numPr>
                <w:ilvl w:val="0"/>
                <w:numId w:val="7"/>
              </w:numPr>
              <w:suppressAutoHyphens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Zatrzaskowe mocowanie z automatyczną blokadą, bez konieczności przykręcania.</w:t>
            </w:r>
          </w:p>
          <w:p w14:paraId="20289025" w14:textId="77777777" w:rsidR="00D52D77" w:rsidRDefault="00D52D77" w:rsidP="00D52D77">
            <w:pPr>
              <w:numPr>
                <w:ilvl w:val="0"/>
                <w:numId w:val="7"/>
              </w:numPr>
              <w:suppressAutoHyphens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Alarm nieprawidłowego mocowania pomp w stacji,</w:t>
            </w:r>
          </w:p>
          <w:p w14:paraId="4F2E9A75" w14:textId="77777777" w:rsidR="00D52D77" w:rsidRDefault="00D52D77" w:rsidP="00D52D77">
            <w:pPr>
              <w:numPr>
                <w:ilvl w:val="0"/>
                <w:numId w:val="7"/>
              </w:numPr>
              <w:suppressAutoHyphens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Pompy mocowane niezależnie, jedna nad drugą, </w:t>
            </w:r>
          </w:p>
          <w:p w14:paraId="49E84B20" w14:textId="77777777" w:rsidR="00D52D77" w:rsidRDefault="00D52D77" w:rsidP="00D52D77">
            <w:pPr>
              <w:numPr>
                <w:ilvl w:val="0"/>
                <w:numId w:val="7"/>
              </w:numPr>
              <w:suppressAutoHyphens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Automatyczne przyłączenie zasilania ze stacji dokującej,</w:t>
            </w:r>
          </w:p>
          <w:p w14:paraId="6F96F58C" w14:textId="77777777" w:rsidR="00D52D77" w:rsidRDefault="00D52D77" w:rsidP="00D52D77">
            <w:pPr>
              <w:numPr>
                <w:ilvl w:val="0"/>
                <w:numId w:val="7"/>
              </w:numPr>
              <w:suppressAutoHyphens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>Automatyczne przyłączenie portu komunikacyjnego ze stacji dokującej,</w:t>
            </w:r>
          </w:p>
          <w:p w14:paraId="0D56DD6B" w14:textId="77777777" w:rsidR="00D52D77" w:rsidRDefault="00D52D77" w:rsidP="00D52D77">
            <w:pPr>
              <w:numPr>
                <w:ilvl w:val="0"/>
                <w:numId w:val="7"/>
              </w:numPr>
              <w:suppressAutoHyphens/>
              <w:spacing w:after="0" w:line="256" w:lineRule="auto"/>
              <w:rPr>
                <w:sz w:val="20"/>
              </w:rPr>
            </w:pPr>
            <w:r>
              <w:rPr>
                <w:sz w:val="20"/>
              </w:rPr>
              <w:t xml:space="preserve">Świetlna sygnalizacja stanu pomp: infuzja, alarm, </w:t>
            </w:r>
            <w:r>
              <w:rPr>
                <w:rFonts w:ascii="Calibri" w:hAnsi="Calibri" w:cs="Arial"/>
                <w:color w:val="000000"/>
                <w:sz w:val="20"/>
              </w:rPr>
              <w:t>STOP.</w:t>
            </w:r>
          </w:p>
        </w:tc>
      </w:tr>
      <w:tr w:rsidR="00D52D77" w14:paraId="7D63123E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ED7E6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58C4" w14:textId="77777777" w:rsidR="00D52D77" w:rsidRDefault="00D52D77" w:rsidP="00200CBC">
            <w:p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Mocowanie pojedynczej pompy do statywów lub pionowych kolumn niewymagające dołączenia jakichkolwiek części, w szczególności uchwytu mocującego, po bezpośrednim wyjęciu pompy z stacji dokującej.</w:t>
            </w:r>
          </w:p>
        </w:tc>
      </w:tr>
      <w:tr w:rsidR="00D52D77" w14:paraId="6BFCE559" w14:textId="77777777" w:rsidTr="00D52D77">
        <w:trPr>
          <w:trHeight w:val="2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FD9D2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2C86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Mocowanie pomp w stacji dokującej niewymagające odłączenia jakichkolwiek części, w szczególności uchwytu mocującego, po bezpośrednim zdjęciu pompy ze statywu.</w:t>
            </w:r>
          </w:p>
        </w:tc>
      </w:tr>
      <w:tr w:rsidR="00D52D77" w14:paraId="2D65FA14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76AE9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55EC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Uchwyt do przenoszenia pompy na stałe związany z pompą, niewymagający odłączania przy mocowaniu pomp w stacjach dokujących.</w:t>
            </w:r>
          </w:p>
        </w:tc>
      </w:tr>
      <w:tr w:rsidR="00D52D77" w14:paraId="63340BF2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7A5B6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D05CB" w14:textId="77777777" w:rsidR="00D52D77" w:rsidRDefault="00D52D77" w:rsidP="00200CBC">
            <w:pPr>
              <w:spacing w:line="256" w:lineRule="auto"/>
              <w:rPr>
                <w:strike/>
                <w:color w:val="000000"/>
                <w:kern w:val="20"/>
                <w:sz w:val="20"/>
              </w:rPr>
            </w:pPr>
            <w:r>
              <w:rPr>
                <w:color w:val="000000"/>
                <w:sz w:val="20"/>
              </w:rPr>
              <w:t xml:space="preserve">Możliwość komunikacji pomp umieszczonych w stacjach dokujących </w:t>
            </w:r>
            <w:r>
              <w:rPr>
                <w:color w:val="000000"/>
                <w:kern w:val="20"/>
                <w:sz w:val="20"/>
              </w:rPr>
              <w:t xml:space="preserve">wyposażonych w </w:t>
            </w:r>
            <w:proofErr w:type="spellStart"/>
            <w:r>
              <w:rPr>
                <w:color w:val="000000"/>
                <w:kern w:val="20"/>
                <w:sz w:val="20"/>
              </w:rPr>
              <w:t>interface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 LAN z oprogramowaniem zewnętrznym.</w:t>
            </w:r>
          </w:p>
        </w:tc>
      </w:tr>
      <w:tr w:rsidR="00D52D77" w14:paraId="49245FBD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B1C87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4A2C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Historia infuzji – możliwość zapamiętania 2000 zdarzeń oznaczonych datą i godziną zdarzenia.</w:t>
            </w:r>
          </w:p>
        </w:tc>
      </w:tr>
      <w:tr w:rsidR="00D52D77" w14:paraId="2CAE86F6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9A2C4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5E928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Klasa ochrony II, typ CF, odporność na defibrylację, ochrona obudowy IP22</w:t>
            </w:r>
          </w:p>
        </w:tc>
      </w:tr>
      <w:tr w:rsidR="00D52D77" w14:paraId="76FD0068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C66A1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1178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Zasilanie pomp mocowanych poza stacją dokującą bezpośrednio z sieci energetycznej</w:t>
            </w:r>
          </w:p>
        </w:tc>
      </w:tr>
      <w:tr w:rsidR="00D52D77" w14:paraId="2F786A2A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5917C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3E0D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Czas pracy z akumulatora 30 h przy infuzji 5ml/h</w:t>
            </w:r>
          </w:p>
        </w:tc>
      </w:tr>
      <w:tr w:rsidR="00D52D77" w14:paraId="1F9E0849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DA73F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FB80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Czas ładowania akumulatora do 100% po pełnym rozładowaniu – poniżej 5 h</w:t>
            </w:r>
          </w:p>
        </w:tc>
      </w:tr>
      <w:tr w:rsidR="00D52D77" w14:paraId="290088F7" w14:textId="77777777" w:rsidTr="00D52D77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0A77F" w14:textId="77777777" w:rsidR="00D52D77" w:rsidRDefault="00D52D77" w:rsidP="00200CBC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77D8" w14:textId="77777777" w:rsidR="00D52D77" w:rsidRDefault="00D52D77" w:rsidP="00200CBC">
            <w:pPr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Waga &lt; 2,5 kg.</w:t>
            </w:r>
          </w:p>
        </w:tc>
      </w:tr>
    </w:tbl>
    <w:p w14:paraId="14932A00" w14:textId="77777777" w:rsidR="00D52D77" w:rsidRDefault="00D52D77" w:rsidP="00D52D77"/>
    <w:p w14:paraId="6CBEF34D" w14:textId="77777777" w:rsidR="00D52D77" w:rsidRDefault="00D52D77" w:rsidP="00D52D77"/>
    <w:p w14:paraId="5723F6BD" w14:textId="77777777" w:rsidR="00BD1857" w:rsidRDefault="00BD1857"/>
    <w:sectPr w:rsidR="00BD1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1A424" w14:textId="77777777" w:rsidR="00375005" w:rsidRDefault="00375005" w:rsidP="00375005">
      <w:pPr>
        <w:spacing w:after="0" w:line="240" w:lineRule="auto"/>
      </w:pPr>
      <w:r>
        <w:separator/>
      </w:r>
    </w:p>
  </w:endnote>
  <w:endnote w:type="continuationSeparator" w:id="0">
    <w:p w14:paraId="09FE99C5" w14:textId="77777777" w:rsidR="00375005" w:rsidRDefault="00375005" w:rsidP="0037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78097" w14:textId="77777777" w:rsidR="00375005" w:rsidRDefault="003750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C241" w14:textId="77777777" w:rsidR="00375005" w:rsidRDefault="003750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E1E9" w14:textId="77777777" w:rsidR="00375005" w:rsidRDefault="00375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4C046" w14:textId="77777777" w:rsidR="00375005" w:rsidRDefault="00375005" w:rsidP="00375005">
      <w:pPr>
        <w:spacing w:after="0" w:line="240" w:lineRule="auto"/>
      </w:pPr>
      <w:r>
        <w:separator/>
      </w:r>
    </w:p>
  </w:footnote>
  <w:footnote w:type="continuationSeparator" w:id="0">
    <w:p w14:paraId="1DB1F84D" w14:textId="77777777" w:rsidR="00375005" w:rsidRDefault="00375005" w:rsidP="0037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F33BF" w14:textId="77777777" w:rsidR="00375005" w:rsidRDefault="003750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2069" w14:textId="77777777" w:rsidR="00375005" w:rsidRPr="008F5C90" w:rsidRDefault="00375005" w:rsidP="00375005">
    <w:pPr>
      <w:pStyle w:val="Nagwek"/>
      <w:rPr>
        <w:rFonts w:ascii="Cambria" w:hAnsi="Cambria"/>
        <w:sz w:val="20"/>
        <w:szCs w:val="20"/>
      </w:rPr>
    </w:pPr>
    <w:bookmarkStart w:id="0" w:name="_Hlk19793215"/>
    <w:bookmarkStart w:id="1" w:name="_Hlk19793216"/>
    <w:bookmarkStart w:id="2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</w:p>
  <w:p w14:paraId="0009204A" w14:textId="77777777" w:rsidR="00375005" w:rsidRDefault="00375005">
    <w:pPr>
      <w:pStyle w:val="Nagwek"/>
    </w:pPr>
    <w:bookmarkStart w:id="3" w:name="_GoBack"/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E42D0" w14:textId="77777777" w:rsidR="00375005" w:rsidRDefault="003750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FC3270"/>
    <w:multiLevelType w:val="hybridMultilevel"/>
    <w:tmpl w:val="7D689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57"/>
    <w:rsid w:val="00375005"/>
    <w:rsid w:val="00A64B2A"/>
    <w:rsid w:val="00BD1857"/>
    <w:rsid w:val="00D52D77"/>
    <w:rsid w:val="00DA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B9E9"/>
  <w15:chartTrackingRefBased/>
  <w15:docId w15:val="{1703EB1A-B53A-4721-945F-A158BC9D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D7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37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005"/>
  </w:style>
  <w:style w:type="paragraph" w:styleId="Stopka">
    <w:name w:val="footer"/>
    <w:basedOn w:val="Normalny"/>
    <w:link w:val="StopkaZnak"/>
    <w:uiPriority w:val="99"/>
    <w:unhideWhenUsed/>
    <w:rsid w:val="0037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5</cp:revision>
  <dcterms:created xsi:type="dcterms:W3CDTF">2019-11-29T13:19:00Z</dcterms:created>
  <dcterms:modified xsi:type="dcterms:W3CDTF">2019-11-29T13:25:00Z</dcterms:modified>
</cp:coreProperties>
</file>