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F33AB" w14:textId="59C3CE20" w:rsidR="00797343" w:rsidRDefault="00797343" w:rsidP="00797343">
      <w:pPr>
        <w:spacing w:line="276" w:lineRule="auto"/>
        <w:ind w:firstLine="425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12</w:t>
      </w:r>
    </w:p>
    <w:p w14:paraId="47C799E2" w14:textId="39FCBF20" w:rsidR="00797343" w:rsidRDefault="00797343" w:rsidP="00797343">
      <w:pPr>
        <w:spacing w:line="276" w:lineRule="auto"/>
        <w:ind w:firstLine="425"/>
        <w:jc w:val="center"/>
        <w:rPr>
          <w:rFonts w:ascii="Cambria" w:hAnsi="Cambria" w:cs="Arial"/>
          <w:b/>
          <w:sz w:val="20"/>
          <w:szCs w:val="20"/>
        </w:rPr>
      </w:pPr>
      <w:bookmarkStart w:id="0" w:name="_GoBack"/>
      <w:r>
        <w:rPr>
          <w:rFonts w:ascii="Cambria" w:hAnsi="Cambria" w:cs="Arial"/>
          <w:b/>
          <w:sz w:val="20"/>
          <w:szCs w:val="20"/>
        </w:rPr>
        <w:t xml:space="preserve">Uzupełnienie opisu przedmiotu zamówienia związane z pytaniami zadanymi w poprzednim postępowaniu. </w:t>
      </w:r>
    </w:p>
    <w:p w14:paraId="303D12CE" w14:textId="1DE18367" w:rsidR="00797343" w:rsidRDefault="00797343" w:rsidP="00797343">
      <w:pPr>
        <w:spacing w:line="276" w:lineRule="auto"/>
        <w:ind w:firstLine="425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Odpowiedzi są wiążące </w:t>
      </w:r>
    </w:p>
    <w:bookmarkEnd w:id="0"/>
    <w:p w14:paraId="5622BC8B" w14:textId="77777777" w:rsid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14:paraId="53D840BA" w14:textId="55DACE1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1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2A380540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sz w:val="20"/>
          <w:szCs w:val="20"/>
        </w:rPr>
        <w:t>Czy Zamawiający dopuszcza aby generalny wykonawca potrącał podwykonawcy kwotę gwarancji proporcjonalną do wysokości realizowanego kontraktu?</w:t>
      </w:r>
    </w:p>
    <w:p w14:paraId="422E2E62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00B6400B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Tak, jeżeli takie będą uzgodnienia z podwykonawcą. </w:t>
      </w:r>
    </w:p>
    <w:p w14:paraId="6AC3A2B0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14:paraId="6E4518B8" w14:textId="01D8D671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2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6BD24DE4" w14:textId="77777777" w:rsidR="00797343" w:rsidRPr="00797343" w:rsidRDefault="00797343" w:rsidP="00797343">
      <w:pPr>
        <w:spacing w:line="276" w:lineRule="auto"/>
        <w:ind w:left="426" w:hanging="1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Czy prace związane z remontem elewacji (odgrzybianie, zabezpieczenie rys i pęknięć itp.) budynku Kolegiaty oraz Dzwonnic wchodzą w zakres przedmiotu zamówienia?</w:t>
      </w:r>
    </w:p>
    <w:p w14:paraId="7E031830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660BADC6" w14:textId="59060CCA" w:rsidR="00151BC2" w:rsidRPr="00797343" w:rsidRDefault="00797343" w:rsidP="00797343">
      <w:pPr>
        <w:ind w:firstLine="425"/>
        <w:rPr>
          <w:rFonts w:ascii="Cambria" w:hAnsi="Cambria" w:cs="Cambria"/>
          <w:b/>
          <w:bCs/>
          <w:sz w:val="20"/>
          <w:szCs w:val="20"/>
        </w:rPr>
      </w:pPr>
      <w:r w:rsidRPr="00797343">
        <w:rPr>
          <w:rFonts w:ascii="Cambria" w:hAnsi="Cambria" w:cs="Cambria"/>
          <w:b/>
          <w:bCs/>
          <w:sz w:val="20"/>
          <w:szCs w:val="20"/>
        </w:rPr>
        <w:t>Tylko w zakresie inwestycji tzn. do poziomu terenu</w:t>
      </w:r>
    </w:p>
    <w:p w14:paraId="58258DF4" w14:textId="33C3AB0C" w:rsidR="00797343" w:rsidRPr="00797343" w:rsidRDefault="00797343" w:rsidP="00797343">
      <w:pPr>
        <w:ind w:firstLine="425"/>
        <w:rPr>
          <w:rFonts w:ascii="Cambria" w:hAnsi="Cambria" w:cs="Cambria"/>
          <w:b/>
          <w:bCs/>
          <w:sz w:val="20"/>
          <w:szCs w:val="20"/>
        </w:rPr>
      </w:pPr>
    </w:p>
    <w:p w14:paraId="4BAE7E68" w14:textId="0D76F4FF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3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003429A3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Czy mur oporowy przy Pawilonie jest do remontu. Jeżeli tak prosimy o określenie zakresu prac.</w:t>
      </w:r>
    </w:p>
    <w:p w14:paraId="6C2DFB20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3B07DB36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Cambria"/>
          <w:b/>
          <w:bCs/>
          <w:sz w:val="20"/>
          <w:szCs w:val="20"/>
        </w:rPr>
      </w:pPr>
      <w:r w:rsidRPr="00797343">
        <w:rPr>
          <w:rFonts w:ascii="Cambria" w:hAnsi="Cambria" w:cs="Cambria"/>
          <w:b/>
          <w:bCs/>
          <w:sz w:val="20"/>
          <w:szCs w:val="20"/>
        </w:rPr>
        <w:t xml:space="preserve">Zgodnie z Projektem Budowlanym i wiedzą wynikającą z przeprowadzonych badań. </w:t>
      </w:r>
    </w:p>
    <w:p w14:paraId="37716DBA" w14:textId="77777777" w:rsidR="00797343" w:rsidRPr="00797343" w:rsidRDefault="00797343" w:rsidP="00797343">
      <w:pPr>
        <w:jc w:val="both"/>
        <w:rPr>
          <w:rFonts w:ascii="Cambria" w:hAnsi="Cambria" w:cs="Arial"/>
          <w:b/>
          <w:sz w:val="20"/>
          <w:szCs w:val="20"/>
        </w:rPr>
      </w:pPr>
    </w:p>
    <w:p w14:paraId="158B3A83" w14:textId="7E81E16D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4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19506113" w14:textId="77777777" w:rsidR="00797343" w:rsidRPr="00797343" w:rsidRDefault="00797343" w:rsidP="00797343">
      <w:pPr>
        <w:spacing w:line="276" w:lineRule="auto"/>
        <w:ind w:left="426" w:hanging="1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Dlaczego w Załączniku nr 11 - Istotne postanowienia umowy o podwykonawstwo § 7 pkt 1 Podwykonawca rozliczany jest w formie ryczałtu , a Wykonawca w umowie- załącznik nr 7 rozliczany jest na podstawie kosztorysów powykonawczych sporządzonych dla prac zrealizowanych zgodnie z projektem budowlanym w oparciu o faktyczny obmiar wykonanych robót i rzeczywiste nakłady rzeczowe wg obowiązujących katalogów przy zastosowaniu składników kosztorysowych przedstawionych przez Wykonawcę przed zawarciem umowy z tym, że wynagrodzenie maksymalne nie może być większe niż kwota przedstawiona przez Wykonawcę w złożonej ofercie.</w:t>
      </w:r>
    </w:p>
    <w:p w14:paraId="3BA8D332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Czy podwykonawca może być rozliczany w innej formie niż ryczałt np. kosztorysem powykonawczym.</w:t>
      </w:r>
    </w:p>
    <w:p w14:paraId="56BAEEF8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5C6E76B6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Podwykonawca może być rozliczany w innej formie niż ryczałt. </w:t>
      </w:r>
    </w:p>
    <w:p w14:paraId="14CCFD0F" w14:textId="77777777" w:rsidR="00797343" w:rsidRPr="00797343" w:rsidRDefault="00797343" w:rsidP="00797343">
      <w:pPr>
        <w:jc w:val="both"/>
        <w:rPr>
          <w:rFonts w:ascii="Cambria" w:hAnsi="Cambria" w:cs="Arial"/>
          <w:b/>
          <w:sz w:val="20"/>
          <w:szCs w:val="20"/>
        </w:rPr>
      </w:pPr>
    </w:p>
    <w:p w14:paraId="142EA217" w14:textId="62353A80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5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5C0D0F7D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W projekcie instalacji sanitarnych występuje zestaw hydroforowy prosimy o sprecyzowanie danych</w:t>
      </w:r>
    </w:p>
    <w:p w14:paraId="7C182505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technicznych</w:t>
      </w:r>
    </w:p>
    <w:p w14:paraId="45511F43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54291D4A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Cambria"/>
          <w:b/>
          <w:bCs/>
          <w:sz w:val="20"/>
          <w:szCs w:val="20"/>
        </w:rPr>
      </w:pPr>
      <w:r w:rsidRPr="00797343">
        <w:rPr>
          <w:rFonts w:ascii="Cambria" w:hAnsi="Cambria" w:cs="Cambria"/>
          <w:b/>
          <w:bCs/>
          <w:sz w:val="20"/>
          <w:szCs w:val="20"/>
        </w:rPr>
        <w:t xml:space="preserve">Opracowanie leży po stronie Wykonawcy i będzie składową projektu wykonawczego. </w:t>
      </w:r>
    </w:p>
    <w:p w14:paraId="48557274" w14:textId="77777777" w:rsidR="00797343" w:rsidRPr="00797343" w:rsidRDefault="00797343" w:rsidP="00797343">
      <w:pPr>
        <w:jc w:val="both"/>
        <w:rPr>
          <w:rFonts w:ascii="Cambria" w:hAnsi="Cambria" w:cs="Arial"/>
          <w:b/>
          <w:sz w:val="20"/>
          <w:szCs w:val="20"/>
        </w:rPr>
      </w:pPr>
    </w:p>
    <w:p w14:paraId="1114AC6D" w14:textId="64586F79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6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612794BB" w14:textId="77777777" w:rsidR="00797343" w:rsidRPr="00797343" w:rsidRDefault="00797343" w:rsidP="00797343">
      <w:pPr>
        <w:spacing w:line="276" w:lineRule="auto"/>
        <w:ind w:left="426" w:hanging="1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Prosimy o sprecyzowanie wymagań zamawiającego odnośnie białego montażu - wg przedmiaru baterie umywalkowe, zlewozmywakowe w wykonaniu standardowym, luksusowym lub termostatycznym, ponieważ rozbieżność jest duża proszę o podanie standardu który należy przyjąć w wycenie ?</w:t>
      </w:r>
    </w:p>
    <w:p w14:paraId="4681C08C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7AC482F0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Cambria"/>
          <w:b/>
          <w:bCs/>
          <w:sz w:val="20"/>
          <w:szCs w:val="20"/>
        </w:rPr>
      </w:pPr>
      <w:r w:rsidRPr="00797343">
        <w:rPr>
          <w:rFonts w:ascii="Cambria" w:hAnsi="Cambria" w:cs="Cambria"/>
          <w:b/>
          <w:bCs/>
          <w:sz w:val="20"/>
          <w:szCs w:val="20"/>
        </w:rPr>
        <w:t xml:space="preserve">Zgodnie z Projektem aranżacji oraz Projektem wykonawczym. </w:t>
      </w:r>
    </w:p>
    <w:p w14:paraId="5FE02759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14:paraId="35526C68" w14:textId="77BF63D9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7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36159AEA" w14:textId="77777777" w:rsidR="00797343" w:rsidRPr="00797343" w:rsidRDefault="00797343" w:rsidP="00797343">
      <w:pPr>
        <w:spacing w:line="276" w:lineRule="auto"/>
        <w:ind w:left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 xml:space="preserve">Prosimy o sprecyzowanie wymagań białego montażu - umywalek , miski </w:t>
      </w:r>
      <w:proofErr w:type="spellStart"/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wc</w:t>
      </w:r>
      <w:proofErr w:type="spellEnd"/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 xml:space="preserve"> wiszące na stelażach czy typu</w:t>
      </w:r>
      <w:r w:rsidRPr="00797343">
        <w:rPr>
          <w:rFonts w:ascii="Cambria" w:hAnsi="Cambria"/>
          <w:sz w:val="20"/>
          <w:szCs w:val="20"/>
        </w:rPr>
        <w:t xml:space="preserve"> </w:t>
      </w: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kompakt?</w:t>
      </w:r>
    </w:p>
    <w:p w14:paraId="75E4C145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lastRenderedPageBreak/>
        <w:t xml:space="preserve">Odpowiedź: </w:t>
      </w:r>
    </w:p>
    <w:p w14:paraId="63D77218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Cambria"/>
          <w:b/>
          <w:bCs/>
          <w:sz w:val="20"/>
          <w:szCs w:val="20"/>
        </w:rPr>
      </w:pPr>
      <w:r w:rsidRPr="00797343">
        <w:rPr>
          <w:rFonts w:ascii="Cambria" w:hAnsi="Cambria" w:cs="Cambria"/>
          <w:b/>
          <w:bCs/>
          <w:sz w:val="20"/>
          <w:szCs w:val="20"/>
        </w:rPr>
        <w:t xml:space="preserve">Zgodnie z Projektem aranżacji oraz Projektem wykonawczym. </w:t>
      </w:r>
    </w:p>
    <w:p w14:paraId="5B40F0A3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14:paraId="655C88F6" w14:textId="6BCDCA49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8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29FF26DA" w14:textId="77777777" w:rsidR="00797343" w:rsidRPr="00797343" w:rsidRDefault="00797343" w:rsidP="00797343">
      <w:pPr>
        <w:spacing w:line="276" w:lineRule="auto"/>
        <w:ind w:left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W projekcie instalacji sanitarnych występuje nawilżacz . Prosimy o sprecyzowanie w jakim celu został zaprojektowany i podanie parametrów urządzenia.</w:t>
      </w:r>
    </w:p>
    <w:p w14:paraId="3C8238BC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6AC75F55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Cambria"/>
          <w:b/>
          <w:bCs/>
          <w:sz w:val="20"/>
          <w:szCs w:val="20"/>
        </w:rPr>
      </w:pPr>
      <w:r w:rsidRPr="00797343">
        <w:rPr>
          <w:rFonts w:ascii="Cambria" w:hAnsi="Cambria" w:cs="Cambria"/>
          <w:b/>
          <w:bCs/>
          <w:sz w:val="20"/>
          <w:szCs w:val="20"/>
        </w:rPr>
        <w:t xml:space="preserve">Zgodnie z Projektem aranżacji oraz Projektem wykonawczym. </w:t>
      </w:r>
    </w:p>
    <w:p w14:paraId="7DA13450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14:paraId="2C60EBC2" w14:textId="478F87C8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9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1D412D59" w14:textId="77777777" w:rsidR="00797343" w:rsidRPr="00797343" w:rsidRDefault="00797343" w:rsidP="00797343">
      <w:pPr>
        <w:spacing w:line="276" w:lineRule="auto"/>
        <w:ind w:left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W opisie do projektu instalacji sanitarnych wewnętrznych, w elementach wyposażenia central znajdują się chłodnice freonowe, prosimy o podanie parametrów central wentylacyjnych w celu dobrania agregatów freonowych dla chłodnic oraz o zaznaczenie na rysunkach gdzie mają być te urządzenia posadowione.</w:t>
      </w:r>
    </w:p>
    <w:p w14:paraId="687567D3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7B1D0834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Cambria"/>
          <w:b/>
          <w:bCs/>
          <w:sz w:val="20"/>
          <w:szCs w:val="20"/>
        </w:rPr>
      </w:pPr>
      <w:r w:rsidRPr="00797343">
        <w:rPr>
          <w:rFonts w:ascii="Cambria" w:hAnsi="Cambria" w:cs="Cambria"/>
          <w:b/>
          <w:bCs/>
          <w:sz w:val="20"/>
          <w:szCs w:val="20"/>
        </w:rPr>
        <w:t xml:space="preserve">Zgodnie z Projektem aranżacji oraz Projektem wykonawczym. </w:t>
      </w:r>
    </w:p>
    <w:p w14:paraId="23D0AB14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14:paraId="173FDF3B" w14:textId="33CBC798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>Pytanie 1</w:t>
      </w:r>
      <w:r>
        <w:rPr>
          <w:rFonts w:ascii="Cambria" w:hAnsi="Cambria" w:cs="Arial"/>
          <w:b/>
          <w:sz w:val="20"/>
          <w:szCs w:val="20"/>
        </w:rPr>
        <w:t>0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0863A06C" w14:textId="77777777" w:rsidR="00797343" w:rsidRPr="00797343" w:rsidRDefault="00797343" w:rsidP="00797343">
      <w:pPr>
        <w:spacing w:line="276" w:lineRule="auto"/>
        <w:ind w:left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W przedmiarze instalacji sanitarnych wewnętrznych, dla instalacji klimatyzacji dobrany jest agregat 200kW. Proszę o sprecyzowanie na jakie cele został dobrany agregat, oraz prosimy o zaznaczenie na rysunkach jaką trasą zostaną poprowadzone rury dla instalacji klimatyzacji.</w:t>
      </w:r>
    </w:p>
    <w:p w14:paraId="710DF55F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3F8B28CF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Cambria"/>
          <w:b/>
          <w:bCs/>
          <w:sz w:val="20"/>
          <w:szCs w:val="20"/>
        </w:rPr>
      </w:pPr>
      <w:r w:rsidRPr="00797343">
        <w:rPr>
          <w:rFonts w:ascii="Cambria" w:hAnsi="Cambria" w:cs="Cambria"/>
          <w:b/>
          <w:bCs/>
          <w:sz w:val="20"/>
          <w:szCs w:val="20"/>
        </w:rPr>
        <w:t xml:space="preserve">Zgodnie z Projektem aranżacji oraz Projektem wykonawczym. </w:t>
      </w:r>
    </w:p>
    <w:p w14:paraId="58A96B3C" w14:textId="77777777" w:rsidR="00797343" w:rsidRPr="00797343" w:rsidRDefault="00797343" w:rsidP="00797343">
      <w:pPr>
        <w:jc w:val="both"/>
        <w:rPr>
          <w:rFonts w:ascii="Cambria" w:hAnsi="Cambria" w:cs="Arial"/>
          <w:b/>
          <w:sz w:val="20"/>
          <w:szCs w:val="20"/>
        </w:rPr>
      </w:pPr>
    </w:p>
    <w:p w14:paraId="7683B50F" w14:textId="569A2F94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>Pytanie 1</w:t>
      </w:r>
      <w:r>
        <w:rPr>
          <w:rFonts w:ascii="Cambria" w:hAnsi="Cambria" w:cs="Arial"/>
          <w:b/>
          <w:sz w:val="20"/>
          <w:szCs w:val="20"/>
        </w:rPr>
        <w:t>1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35C5FF9A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/>
          <w:color w:val="000000"/>
          <w:sz w:val="20"/>
          <w:szCs w:val="20"/>
          <w:lang w:eastAsia="pl-PL" w:bidi="pl-PL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W Decyzji nr 163 A-17 ŚWKZ pkt 3 jest mowa o ,,Ramowym programie badań archeologicznych"</w:t>
      </w:r>
    </w:p>
    <w:p w14:paraId="07EB9A3B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/>
          <w:color w:val="000000"/>
          <w:sz w:val="20"/>
          <w:szCs w:val="20"/>
          <w:lang w:eastAsia="pl-PL" w:bidi="pl-PL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wykonanym i opracowanym przez Pana mgr Waldemara Glińskiego.</w:t>
      </w:r>
      <w:r w:rsidRPr="00797343">
        <w:rPr>
          <w:rFonts w:ascii="Cambria" w:hAnsi="Cambria"/>
          <w:sz w:val="20"/>
          <w:szCs w:val="20"/>
        </w:rPr>
        <w:t xml:space="preserve"> </w:t>
      </w: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Prosimy o jego załączenie do</w:t>
      </w:r>
    </w:p>
    <w:p w14:paraId="74887065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dokumentacji przetargowej.</w:t>
      </w:r>
    </w:p>
    <w:p w14:paraId="314CBDEA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681E9126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797343">
        <w:rPr>
          <w:rFonts w:ascii="Cambria" w:hAnsi="Cambria" w:cs="Arial"/>
          <w:b/>
          <w:color w:val="000000"/>
          <w:sz w:val="20"/>
          <w:szCs w:val="20"/>
        </w:rPr>
        <w:t>Ramowy program badań archeologicznych znajduje się w załączniku wraz z programem prac</w:t>
      </w:r>
    </w:p>
    <w:p w14:paraId="77B34228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color w:val="000000"/>
          <w:sz w:val="20"/>
          <w:szCs w:val="20"/>
        </w:rPr>
        <w:t>konserwatorskich</w:t>
      </w:r>
    </w:p>
    <w:p w14:paraId="32FDF331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14:paraId="53675F9D" w14:textId="0ED49C0B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>Pytanie 1</w:t>
      </w:r>
      <w:r>
        <w:rPr>
          <w:rFonts w:ascii="Cambria" w:hAnsi="Cambria" w:cs="Arial"/>
          <w:b/>
          <w:sz w:val="20"/>
          <w:szCs w:val="20"/>
        </w:rPr>
        <w:t>2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3FCBE872" w14:textId="77777777" w:rsidR="00797343" w:rsidRPr="00797343" w:rsidRDefault="00797343" w:rsidP="00797343">
      <w:pPr>
        <w:spacing w:line="276" w:lineRule="auto"/>
        <w:ind w:left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 xml:space="preserve">W związku z brakiem w dokumentacji technicznej schematów rozdzielni RGU, </w:t>
      </w:r>
      <w:proofErr w:type="spellStart"/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Rl</w:t>
      </w:r>
      <w:proofErr w:type="spellEnd"/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 xml:space="preserve">, R2, RW1, RW2 prosimy </w:t>
      </w: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br/>
        <w:t>o uzupełnienie dokumentacji</w:t>
      </w:r>
    </w:p>
    <w:p w14:paraId="0CA13229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1F0E1315" w14:textId="77777777" w:rsidR="00797343" w:rsidRPr="00797343" w:rsidRDefault="00797343" w:rsidP="00797343">
      <w:pPr>
        <w:spacing w:line="276" w:lineRule="auto"/>
        <w:ind w:left="426" w:hanging="1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Na obecnym etapie nie ma możliwości wykonania ww. schematów. Wykonanie dokumentacji technicznej schematów będzie składową projektu wykonawczego.  </w:t>
      </w:r>
    </w:p>
    <w:p w14:paraId="79FECB57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14:paraId="3ECBCA15" w14:textId="12D36B8B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>Pytanie 1</w:t>
      </w:r>
      <w:r>
        <w:rPr>
          <w:rFonts w:ascii="Cambria" w:hAnsi="Cambria" w:cs="Arial"/>
          <w:b/>
          <w:sz w:val="20"/>
          <w:szCs w:val="20"/>
        </w:rPr>
        <w:t>3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2B145CAD" w14:textId="77777777" w:rsidR="00797343" w:rsidRPr="00797343" w:rsidRDefault="00797343" w:rsidP="00797343">
      <w:pPr>
        <w:spacing w:line="276" w:lineRule="auto"/>
        <w:ind w:left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sz w:val="20"/>
          <w:szCs w:val="20"/>
        </w:rPr>
        <w:t>W zakresie badań archeologicznych, prosimy o informację dotyczącą potencjalnie odnalezionych reliktów. Komu należy je przekazać, po czyjej stronie są prace konserwatorskie znalezisk?</w:t>
      </w:r>
    </w:p>
    <w:p w14:paraId="4734128B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33B83317" w14:textId="77777777" w:rsidR="00797343" w:rsidRPr="00797343" w:rsidRDefault="00797343" w:rsidP="00797343">
      <w:pPr>
        <w:spacing w:line="276" w:lineRule="auto"/>
        <w:ind w:left="426" w:hanging="1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b/>
          <w:sz w:val="20"/>
          <w:szCs w:val="20"/>
        </w:rPr>
        <w:t xml:space="preserve">Zgodnie z art. 36 ust. 1 pkt 5 Ustawy z dnia 23 lipca 2003 r. o ochronie zabytków i opiece nad zabytkami oraz Programem badań archeologicznych. </w:t>
      </w:r>
    </w:p>
    <w:p w14:paraId="7485CA4A" w14:textId="35711C51" w:rsidR="00797343" w:rsidRPr="00797343" w:rsidRDefault="00797343" w:rsidP="00797343">
      <w:pPr>
        <w:ind w:firstLine="425"/>
        <w:rPr>
          <w:rFonts w:ascii="Cambria" w:hAnsi="Cambria"/>
          <w:sz w:val="20"/>
          <w:szCs w:val="20"/>
        </w:rPr>
      </w:pPr>
    </w:p>
    <w:p w14:paraId="027EFB09" w14:textId="2BF2AB12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14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5C7147E2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  <w:lang w:eastAsia="pl-PL"/>
        </w:rPr>
      </w:pPr>
      <w:r w:rsidRPr="00797343">
        <w:rPr>
          <w:rFonts w:ascii="Cambria" w:hAnsi="Cambria"/>
          <w:sz w:val="20"/>
          <w:szCs w:val="20"/>
        </w:rPr>
        <w:t>Mamy jeszcze pytania odnośnie skanowania 3D, do Przedmiaru 3, który jest w załączniku 9:</w:t>
      </w:r>
    </w:p>
    <w:p w14:paraId="00DF8B1D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</w:p>
    <w:p w14:paraId="1AE89222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  <w:r w:rsidRPr="00797343">
        <w:rPr>
          <w:rFonts w:ascii="Cambria" w:hAnsi="Cambria"/>
          <w:sz w:val="20"/>
          <w:szCs w:val="20"/>
        </w:rPr>
        <w:lastRenderedPageBreak/>
        <w:t xml:space="preserve">Ad. 2. W celu pokrycia 99% wnętrza i elewacji budynków należy użyć podnośnika lub uzupełnić digitalizacje wyższych części budowli i dachów za pomocą </w:t>
      </w:r>
      <w:proofErr w:type="spellStart"/>
      <w:r w:rsidRPr="00797343">
        <w:rPr>
          <w:rFonts w:ascii="Cambria" w:hAnsi="Cambria"/>
          <w:sz w:val="20"/>
          <w:szCs w:val="20"/>
        </w:rPr>
        <w:t>drona</w:t>
      </w:r>
      <w:proofErr w:type="spellEnd"/>
      <w:r w:rsidRPr="00797343">
        <w:rPr>
          <w:rFonts w:ascii="Cambria" w:hAnsi="Cambria"/>
          <w:sz w:val="20"/>
          <w:szCs w:val="20"/>
        </w:rPr>
        <w:t>. Czy jest dopuszczone użycie tego typu metod w wnętrzu obiektu i jego otoczeniu?</w:t>
      </w:r>
    </w:p>
    <w:p w14:paraId="673AD77A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</w:p>
    <w:p w14:paraId="57694058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  <w:r w:rsidRPr="00797343">
        <w:rPr>
          <w:rFonts w:ascii="Cambria" w:hAnsi="Cambria"/>
          <w:sz w:val="20"/>
          <w:szCs w:val="20"/>
        </w:rPr>
        <w:t>Co rozumiemy poprzez "złożony kompletny model"? Czy chodzi o połączoną chmurę punktów, czy model 3D po triangulacji powierzchni?</w:t>
      </w:r>
    </w:p>
    <w:p w14:paraId="7BD64A07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>Odpowiedź:</w:t>
      </w:r>
    </w:p>
    <w:p w14:paraId="66E2FB7B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Zgodnie z zakresem projektu </w:t>
      </w:r>
    </w:p>
    <w:p w14:paraId="2CD69126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3E8B351F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</w:p>
    <w:p w14:paraId="7D81C9B0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  <w:r w:rsidRPr="00797343">
        <w:rPr>
          <w:rFonts w:ascii="Cambria" w:hAnsi="Cambria"/>
          <w:sz w:val="20"/>
          <w:szCs w:val="20"/>
        </w:rPr>
        <w:t>Ad. 3. Co wchodzi w zakres ekspertyzy technicznej?</w:t>
      </w:r>
    </w:p>
    <w:p w14:paraId="7723668F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  <w:r w:rsidRPr="00797343">
        <w:rPr>
          <w:rFonts w:ascii="Cambria" w:hAnsi="Cambria"/>
          <w:sz w:val="20"/>
          <w:szCs w:val="20"/>
        </w:rPr>
        <w:t>Co wchodzi w zakres badań metodami nieinwazyjnymi? Skanowanie?  Fotogrametria? Badania geofizyczne? Co wchodzi w ich skład, które elementy kompleksu architektonicznego należy przebadać metodami nieinwazyjnymi (jakimi?) i które elementy kompleksu mają wejść w zakres wspomnianej ekspertyzy technicznej.</w:t>
      </w:r>
    </w:p>
    <w:p w14:paraId="24228572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>Odpowiedź:</w:t>
      </w:r>
    </w:p>
    <w:p w14:paraId="5B6625E1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Ekspertyza techniczna oraz badania nieinwazyjne nie stanowią opisu zamówienia </w:t>
      </w:r>
    </w:p>
    <w:p w14:paraId="78C7FCCE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</w:p>
    <w:p w14:paraId="2B3A6366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  <w:r w:rsidRPr="00797343">
        <w:rPr>
          <w:rFonts w:ascii="Cambria" w:hAnsi="Cambria"/>
          <w:sz w:val="20"/>
          <w:szCs w:val="20"/>
        </w:rPr>
        <w:t>pkt. 4 patrz pkt. 2</w:t>
      </w:r>
    </w:p>
    <w:p w14:paraId="7A03FD91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</w:p>
    <w:p w14:paraId="0623A8C1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  <w:r w:rsidRPr="00797343">
        <w:rPr>
          <w:rFonts w:ascii="Cambria" w:hAnsi="Cambria"/>
          <w:sz w:val="20"/>
          <w:szCs w:val="20"/>
        </w:rPr>
        <w:t>pkt. 6 Czy martwe pola dotyczą elementów świetlików wyżej położonych okien, tylnych części rzeźb, ołtarza i innych elementów trudno dostępnych.</w:t>
      </w:r>
    </w:p>
    <w:p w14:paraId="210D9802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>Odpowiedź:</w:t>
      </w:r>
    </w:p>
    <w:p w14:paraId="218D386E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Ekspertyza techniczna oraz badania nieinwazyjne nie stanowią opisu zamówienia </w:t>
      </w:r>
    </w:p>
    <w:p w14:paraId="41BA942D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</w:p>
    <w:p w14:paraId="2DD34F60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  <w:r w:rsidRPr="00797343">
        <w:rPr>
          <w:rFonts w:ascii="Cambria" w:hAnsi="Cambria"/>
          <w:sz w:val="20"/>
          <w:szCs w:val="20"/>
        </w:rPr>
        <w:t>Jakie są terminy na wykonanie skanowania w terenie oraz opracowania wyników skanowania 3D?</w:t>
      </w:r>
    </w:p>
    <w:p w14:paraId="1E98E53A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>Odpowiedź:</w:t>
      </w:r>
    </w:p>
    <w:p w14:paraId="6A9EA341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Zgodnie z zapisami umowy </w:t>
      </w:r>
    </w:p>
    <w:p w14:paraId="62E9F5DD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</w:p>
    <w:p w14:paraId="448A05C9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  <w:r w:rsidRPr="00797343">
        <w:rPr>
          <w:rFonts w:ascii="Cambria" w:hAnsi="Cambria"/>
          <w:sz w:val="20"/>
          <w:szCs w:val="20"/>
        </w:rPr>
        <w:t>Jakie jest termin na wykonanie w/w ekspertyzy technicznej i badań nieinwazyjnych?</w:t>
      </w:r>
    </w:p>
    <w:p w14:paraId="7E0CDC70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4E71AE85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Ekspertyza techniczna oraz badania nieinwazyjne nie stanowią opisu zamówienia </w:t>
      </w:r>
    </w:p>
    <w:p w14:paraId="7A410BA4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2C687EED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>Ekspertyza techniczna oraz badania nieinwazyjne zostały już wykonane, a ich wyniki znajdują się w załączniku nr 10. (folder H- Ekspertyza techniczna oraz Sprawozdanie z badań geofizycznych)</w:t>
      </w:r>
    </w:p>
    <w:p w14:paraId="3FDA16C0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14:paraId="4F581DE0" w14:textId="77777777" w:rsidR="00797343" w:rsidRPr="00797343" w:rsidRDefault="00797343" w:rsidP="00797343">
      <w:pPr>
        <w:ind w:firstLine="425"/>
        <w:rPr>
          <w:rFonts w:ascii="Cambria" w:hAnsi="Cambria"/>
          <w:sz w:val="20"/>
          <w:szCs w:val="20"/>
        </w:rPr>
      </w:pPr>
    </w:p>
    <w:sectPr w:rsidR="00797343" w:rsidRPr="007973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781FA" w14:textId="77777777" w:rsidR="00797343" w:rsidRDefault="00797343" w:rsidP="00797343">
      <w:r>
        <w:separator/>
      </w:r>
    </w:p>
  </w:endnote>
  <w:endnote w:type="continuationSeparator" w:id="0">
    <w:p w14:paraId="652DF5B9" w14:textId="77777777" w:rsidR="00797343" w:rsidRDefault="00797343" w:rsidP="0079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BEFD4" w14:textId="77777777" w:rsidR="00797343" w:rsidRDefault="00797343" w:rsidP="00797343">
      <w:r>
        <w:separator/>
      </w:r>
    </w:p>
  </w:footnote>
  <w:footnote w:type="continuationSeparator" w:id="0">
    <w:p w14:paraId="61FB7143" w14:textId="77777777" w:rsidR="00797343" w:rsidRDefault="00797343" w:rsidP="00797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05703" w14:textId="77777777" w:rsidR="00797343" w:rsidRDefault="00797343" w:rsidP="00797343">
    <w:pPr>
      <w:pStyle w:val="Standard"/>
      <w:rPr>
        <w:rFonts w:ascii="Cambria" w:hAnsi="Cambria"/>
        <w:sz w:val="20"/>
        <w:szCs w:val="20"/>
      </w:rPr>
    </w:pPr>
    <w:r>
      <w:rPr>
        <w:noProof/>
      </w:rPr>
      <w:drawing>
        <wp:inline distT="0" distB="0" distL="0" distR="0" wp14:anchorId="61B6DDBD" wp14:editId="3F6578B9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BBBE3" w14:textId="77777777" w:rsidR="00797343" w:rsidRDefault="007973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C2"/>
    <w:rsid w:val="00151BC2"/>
    <w:rsid w:val="0079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091B"/>
  <w15:chartTrackingRefBased/>
  <w15:docId w15:val="{471803BA-785B-494B-AD1E-50C8693E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34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797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343"/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34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73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97343"/>
  </w:style>
  <w:style w:type="paragraph" w:styleId="Stopka">
    <w:name w:val="footer"/>
    <w:basedOn w:val="Normalny"/>
    <w:link w:val="StopkaZnak"/>
    <w:uiPriority w:val="99"/>
    <w:unhideWhenUsed/>
    <w:rsid w:val="007973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9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857</Words>
  <Characters>5146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2019-04-26T12:27:00Z</dcterms:created>
  <dcterms:modified xsi:type="dcterms:W3CDTF">2019-04-26T12:36:00Z</dcterms:modified>
</cp:coreProperties>
</file>