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5FE7" w14:textId="77777777" w:rsidR="002C095D" w:rsidRPr="00B519D3" w:rsidRDefault="00970FA2">
      <w:pPr>
        <w:pStyle w:val="Tekstpodstawowy"/>
        <w:spacing w:line="276" w:lineRule="auto"/>
        <w:jc w:val="right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B519D3" w:rsidRDefault="00970FA2">
      <w:pPr>
        <w:pStyle w:val="Tekstpodstawowy"/>
        <w:spacing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B519D3" w:rsidRDefault="00970FA2">
      <w:pPr>
        <w:pStyle w:val="Tekstpodstawowy"/>
        <w:spacing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B519D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0" w:name="_Hlk536706796"/>
      <w:bookmarkEnd w:id="0"/>
      <w:r w:rsidRPr="00B519D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B519D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B519D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B519D3" w:rsidRDefault="00970FA2">
      <w:pPr>
        <w:pStyle w:val="Nagwek10"/>
        <w:spacing w:after="120" w:line="276" w:lineRule="auto"/>
        <w:jc w:val="left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>………………………………</w:t>
      </w:r>
      <w:bookmarkStart w:id="1" w:name="_GoBack"/>
      <w:bookmarkEnd w:id="1"/>
    </w:p>
    <w:p w14:paraId="1EC1CC19" w14:textId="77777777" w:rsidR="002C095D" w:rsidRPr="00B519D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b w:val="0"/>
          <w:color w:val="auto"/>
          <w:sz w:val="20"/>
        </w:rPr>
        <w:t>zwany dalej</w:t>
      </w:r>
      <w:r w:rsidRPr="00B519D3">
        <w:rPr>
          <w:rFonts w:ascii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bCs/>
          <w:color w:val="auto"/>
          <w:sz w:val="20"/>
        </w:rPr>
        <w:t>Zamawiającym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B519D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</w:rPr>
        <w:t>a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B519D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2" w:name="_Hlk1471824"/>
      <w:r w:rsidRPr="00B519D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B519D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2"/>
      <w:r w:rsidRPr="00B519D3">
        <w:rPr>
          <w:rFonts w:ascii="Cambria" w:hAnsi="Cambria"/>
          <w:b/>
          <w:color w:val="auto"/>
          <w:sz w:val="20"/>
          <w:szCs w:val="20"/>
        </w:rPr>
        <w:t>"</w:t>
      </w:r>
      <w:r w:rsidRPr="00B519D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B519D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</w:rPr>
      </w:pP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B519D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B519D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B519D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B519D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B519D3">
        <w:rPr>
          <w:rFonts w:ascii="Cambria" w:hAnsi="Cambria" w:cs="Arial"/>
          <w:bCs/>
          <w:color w:val="auto"/>
          <w:sz w:val="20"/>
          <w:szCs w:val="20"/>
        </w:rPr>
        <w:t>3</w:t>
      </w: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B519D3">
        <w:rPr>
          <w:rFonts w:ascii="Cambria" w:hAnsi="Cambria" w:cs="Cambria"/>
          <w:bCs/>
          <w:color w:val="auto"/>
          <w:sz w:val="20"/>
        </w:rPr>
        <w:t xml:space="preserve">Wykonawca oświadcza, że zapoznał się z </w:t>
      </w:r>
      <w:r w:rsidRPr="00B519D3">
        <w:rPr>
          <w:rFonts w:ascii="Cambria" w:hAnsi="Cambria" w:cs="Cambria"/>
          <w:color w:val="auto"/>
          <w:sz w:val="20"/>
        </w:rPr>
        <w:t>dokumentacją</w:t>
      </w:r>
      <w:r w:rsidRPr="00B519D3">
        <w:rPr>
          <w:rFonts w:ascii="Cambria" w:hAnsi="Cambria" w:cs="Cambria"/>
          <w:bCs/>
          <w:color w:val="auto"/>
          <w:sz w:val="20"/>
        </w:rPr>
        <w:t xml:space="preserve">, ekspertyzą oraz </w:t>
      </w:r>
      <w:r w:rsidRPr="00B519D3">
        <w:rPr>
          <w:rFonts w:ascii="Cambria" w:hAnsi="Cambria" w:cs="Cambria"/>
          <w:color w:val="auto"/>
          <w:sz w:val="20"/>
        </w:rPr>
        <w:t xml:space="preserve">dokonał zalecanej wizji lokalnej terenu budowy </w:t>
      </w:r>
      <w:r w:rsidRPr="00B519D3">
        <w:rPr>
          <w:rFonts w:ascii="Cambria" w:hAnsi="Cambria" w:cs="Cambria"/>
          <w:bCs/>
          <w:color w:val="auto"/>
          <w:sz w:val="20"/>
        </w:rPr>
        <w:t>i uznaje je za wystarczające do realizacji zamówienia.</w:t>
      </w:r>
    </w:p>
    <w:p w14:paraId="0AB52292" w14:textId="77777777" w:rsidR="002C095D" w:rsidRPr="00B519D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Cs/>
          <w:color w:val="auto"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070A3724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lastRenderedPageBreak/>
        <w:t xml:space="preserve">Harmonogram zostanie zatwierdzony w terminie pięciu dni roboczych od daty jego otrzymania lub zwrócony do poprawienia z uwagami które należy zmienić (uwzględnić). Harmonogram z uwzględnionymi zmianami należy w terminie </w:t>
      </w:r>
      <w:r w:rsidR="0036117D">
        <w:rPr>
          <w:rFonts w:ascii="Cambria" w:hAnsi="Cambria" w:cs="Arial"/>
          <w:b w:val="0"/>
          <w:bCs/>
          <w:color w:val="auto"/>
          <w:sz w:val="20"/>
        </w:rPr>
        <w:t xml:space="preserve">5 dni </w:t>
      </w:r>
      <w:r w:rsidRPr="00B519D3">
        <w:rPr>
          <w:rFonts w:ascii="Cambria" w:hAnsi="Cambria" w:cs="Arial"/>
          <w:b w:val="0"/>
          <w:bCs/>
          <w:color w:val="auto"/>
          <w:sz w:val="20"/>
        </w:rPr>
        <w:t>od daty zgłoszenia uwag przedłożyć do ponownego zatwierdzenia Zamawiającemu</w:t>
      </w:r>
    </w:p>
    <w:p w14:paraId="04273E57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B519D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B519D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71EC8AC3" w14:textId="115133EA" w:rsidR="00045773" w:rsidRPr="00B519D3" w:rsidRDefault="00B519D3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Wykonanie p</w:t>
      </w:r>
      <w:r w:rsidR="00045773"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rojekt aranżacji wnętrz –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do </w:t>
      </w:r>
      <w:r w:rsidR="00045773"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  31.01.2020 r.</w:t>
      </w:r>
    </w:p>
    <w:p w14:paraId="5141E862" w14:textId="3F566368" w:rsidR="002C095D" w:rsidRPr="00B519D3" w:rsidRDefault="00B519D3" w:rsidP="00B519D3">
      <w:pPr>
        <w:pStyle w:val="Akapitzlist"/>
        <w:numPr>
          <w:ilvl w:val="0"/>
          <w:numId w:val="39"/>
        </w:numPr>
        <w:tabs>
          <w:tab w:val="left" w:pos="709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B519D3">
        <w:rPr>
          <w:rFonts w:ascii="Cambria" w:hAnsi="Cambria" w:cs="Cambria"/>
          <w:color w:val="auto"/>
          <w:sz w:val="20"/>
          <w:szCs w:val="20"/>
        </w:rPr>
        <w:t xml:space="preserve">Termin zakończenia prac budowlanych:  do dnia 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>31.1</w:t>
      </w:r>
      <w:r w:rsidR="00790EBB" w:rsidRPr="00B519D3">
        <w:rPr>
          <w:rFonts w:ascii="Cambria" w:hAnsi="Cambria" w:cs="Cambria"/>
          <w:color w:val="auto"/>
          <w:sz w:val="20"/>
          <w:szCs w:val="20"/>
        </w:rPr>
        <w:t>2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>.202</w:t>
      </w:r>
      <w:r w:rsidR="00790EBB" w:rsidRPr="00B519D3">
        <w:rPr>
          <w:rFonts w:ascii="Cambria" w:hAnsi="Cambria" w:cs="Cambria"/>
          <w:color w:val="auto"/>
          <w:sz w:val="20"/>
          <w:szCs w:val="20"/>
        </w:rPr>
        <w:t>0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 xml:space="preserve"> r. </w:t>
      </w:r>
    </w:p>
    <w:p w14:paraId="2F847A3B" w14:textId="5E858DFC" w:rsidR="00135BB1" w:rsidRPr="00B519D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B519D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B519D3" w:rsidRDefault="00B519D3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B519D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519D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</w:rPr>
        <w:t>Przy realizacji zamówienia z udziałem podwykonawcy zastosowanie mają przepisy art. 143a do 143d ustawy PZP.</w:t>
      </w:r>
    </w:p>
    <w:p w14:paraId="33B92B00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>1)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</w:r>
      <w:r w:rsidRPr="00B519D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</w:rPr>
      </w:pPr>
      <w:r w:rsidRPr="00B519D3">
        <w:rPr>
          <w:rFonts w:ascii="Cambria" w:hAnsi="Cambria" w:cs="Cambria"/>
          <w:b w:val="0"/>
          <w:color w:val="auto"/>
          <w:sz w:val="20"/>
        </w:rPr>
        <w:t>2)</w:t>
      </w:r>
      <w:r w:rsidRPr="00B519D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B519D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B519D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>4)</w:t>
      </w:r>
      <w:r w:rsidRPr="00B519D3">
        <w:rPr>
          <w:rFonts w:ascii="Cambria" w:hAnsi="Cambria" w:cs="Cambria"/>
          <w:b w:val="0"/>
          <w:color w:val="auto"/>
          <w:sz w:val="20"/>
        </w:rPr>
        <w:tab/>
      </w:r>
      <w:r w:rsidRPr="00B519D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B519D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B519D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>8.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B519D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B519D3">
        <w:rPr>
          <w:rFonts w:ascii="Cambria" w:hAnsi="Cambria" w:cs="Cambria"/>
          <w:b w:val="0"/>
          <w:color w:val="auto"/>
          <w:sz w:val="20"/>
        </w:rPr>
        <w:tab/>
      </w:r>
      <w:r w:rsidRPr="00B519D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B519D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B519D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B519D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B519D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B519D3">
        <w:rPr>
          <w:rFonts w:ascii="Cambria" w:hAnsi="Cambria" w:cs="Calibri"/>
          <w:bCs/>
          <w:color w:val="auto"/>
          <w:sz w:val="20"/>
          <w:szCs w:val="20"/>
        </w:rPr>
        <w:br/>
      </w:r>
      <w:r w:rsidRPr="00B519D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B519D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71AC1483" w14:textId="77777777" w:rsidR="002C095D" w:rsidRPr="00B519D3" w:rsidRDefault="00970FA2">
      <w:pPr>
        <w:pStyle w:val="Nagwek2"/>
        <w:spacing w:before="0" w:after="120" w:line="276" w:lineRule="auto"/>
        <w:ind w:left="480" w:hanging="480"/>
        <w:rPr>
          <w:rFonts w:ascii="Cambria" w:hAnsi="Cambria" w:cs="Calibri"/>
          <w:b/>
          <w:bCs/>
          <w:color w:val="auto"/>
          <w:sz w:val="20"/>
        </w:rPr>
      </w:pPr>
      <w:r w:rsidRPr="00B519D3">
        <w:rPr>
          <w:rFonts w:ascii="Cambria" w:hAnsi="Cambria" w:cs="Calibri"/>
          <w:color w:val="auto"/>
          <w:sz w:val="20"/>
        </w:rPr>
        <w:t xml:space="preserve">2. </w:t>
      </w:r>
      <w:r w:rsidRPr="00B519D3">
        <w:rPr>
          <w:rFonts w:ascii="Cambria" w:hAnsi="Cambria" w:cs="Calibri"/>
          <w:color w:val="auto"/>
          <w:sz w:val="20"/>
        </w:rPr>
        <w:tab/>
        <w:t>Ustanowionym przez Wykonawcę Kierownikiem Budowy jest: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 ………………… </w:t>
      </w:r>
      <w:r w:rsidRPr="00B519D3">
        <w:rPr>
          <w:rFonts w:ascii="Cambria" w:hAnsi="Cambria" w:cs="Calibri"/>
          <w:b/>
          <w:color w:val="auto"/>
          <w:sz w:val="20"/>
        </w:rPr>
        <w:t xml:space="preserve">działający w granicach umocowania określonego przepisami ustawy `z dnia 7 lipca 1994r. Prawo Budowlane (tekst jednolity 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Dz. U. </w:t>
      </w:r>
      <w:r w:rsidRPr="00B519D3">
        <w:rPr>
          <w:rFonts w:ascii="Cambria" w:hAnsi="Cambria" w:cs="Calibri"/>
          <w:b/>
          <w:color w:val="auto"/>
          <w:sz w:val="20"/>
        </w:rPr>
        <w:t xml:space="preserve">z 2018 r., poz. </w:t>
      </w:r>
      <w:r w:rsidRPr="00B519D3">
        <w:rPr>
          <w:rFonts w:ascii="Cambria" w:hAnsi="Cambria" w:cs="Calibri"/>
          <w:b/>
          <w:bCs/>
          <w:color w:val="auto"/>
          <w:sz w:val="20"/>
        </w:rPr>
        <w:t>1202</w:t>
      </w:r>
      <w:r w:rsidRPr="00B519D3">
        <w:rPr>
          <w:rFonts w:ascii="Cambria" w:hAnsi="Cambria" w:cs="Calibri"/>
          <w:b/>
          <w:color w:val="auto"/>
          <w:sz w:val="20"/>
        </w:rPr>
        <w:t>).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 </w:t>
      </w:r>
    </w:p>
    <w:p w14:paraId="719BCEC9" w14:textId="77777777" w:rsidR="002C095D" w:rsidRPr="00B519D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B519D3" w:rsidRDefault="00970FA2">
      <w:pPr>
        <w:spacing w:after="120" w:line="276" w:lineRule="auto"/>
        <w:ind w:firstLine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B519D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B519D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lastRenderedPageBreak/>
        <w:t>§ 6</w:t>
      </w:r>
    </w:p>
    <w:p w14:paraId="5098DBB5" w14:textId="77777777" w:rsidR="002C095D" w:rsidRPr="00B519D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B519D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lang w:bidi="pl-PL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B519D3">
        <w:rPr>
          <w:rFonts w:ascii="Cambria" w:hAnsi="Cambria"/>
          <w:bCs/>
          <w:iCs/>
          <w:color w:val="auto"/>
          <w:lang w:bidi="pl-PL"/>
        </w:rPr>
        <w:t>ortoobrazów</w:t>
      </w:r>
      <w:proofErr w:type="spellEnd"/>
    </w:p>
    <w:p w14:paraId="1FF87898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color w:val="auto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lang w:bidi="pl-PL"/>
        </w:rPr>
      </w:pPr>
      <w:r w:rsidRPr="00B519D3">
        <w:rPr>
          <w:rFonts w:ascii="Cambria" w:hAnsi="Cambria"/>
          <w:bCs/>
          <w:iCs/>
          <w:color w:val="auto"/>
          <w:lang w:bidi="pl-PL"/>
        </w:rPr>
        <w:t>Wykona i przedłoży zamawiającemu opracowanie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B519D3">
        <w:rPr>
          <w:rFonts w:ascii="Cambria" w:hAnsi="Cambria"/>
          <w:bCs/>
          <w:iCs/>
          <w:color w:val="auto"/>
          <w:lang w:bidi="pl-PL"/>
        </w:rPr>
        <w:tab/>
      </w:r>
    </w:p>
    <w:p w14:paraId="4F9B33E7" w14:textId="41FB69ED" w:rsidR="002C095D" w:rsidRPr="00B519D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B519D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Wykonawca oświadcza, że do opracowań o których mowa w pkt 2), 3), 4)</w:t>
      </w:r>
      <w:r w:rsidR="00A63FFD" w:rsidRPr="00B519D3">
        <w:rPr>
          <w:rFonts w:ascii="Cambria" w:hAnsi="Cambria"/>
          <w:color w:val="auto"/>
        </w:rPr>
        <w:t>,</w:t>
      </w:r>
      <w:r w:rsidRPr="00B519D3">
        <w:rPr>
          <w:rFonts w:ascii="Cambria" w:hAnsi="Cambria"/>
          <w:color w:val="auto"/>
        </w:rPr>
        <w:t xml:space="preserve"> 5)</w:t>
      </w:r>
      <w:r w:rsidR="00A63FFD" w:rsidRPr="00B519D3">
        <w:rPr>
          <w:rFonts w:ascii="Cambria" w:hAnsi="Cambria"/>
          <w:color w:val="auto"/>
        </w:rPr>
        <w:t xml:space="preserve"> i 6)</w:t>
      </w:r>
      <w:r w:rsidRPr="00B519D3">
        <w:rPr>
          <w:rFonts w:ascii="Cambria" w:hAnsi="Cambria"/>
          <w:color w:val="auto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B519D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 xml:space="preserve">Wykonawca przenosi na Zamawiającego autorskie prawa majątkowe do całej dokumentacji będącej przedmiotem opracowań o których mowa w pkt. </w:t>
      </w:r>
      <w:r w:rsidR="00A63FFD" w:rsidRPr="00B519D3">
        <w:rPr>
          <w:rFonts w:ascii="Cambria" w:hAnsi="Cambria"/>
          <w:color w:val="auto"/>
        </w:rPr>
        <w:t>7</w:t>
      </w:r>
      <w:r w:rsidRPr="00B519D3">
        <w:rPr>
          <w:rFonts w:ascii="Cambria" w:hAnsi="Cambria"/>
          <w:color w:val="auto"/>
        </w:rPr>
        <w:t>) oraz do wszelkich egzemplarzy w/w dokumentacji sporządzonych w wykonaniu umowy na następujących polach eksploatacji:</w:t>
      </w:r>
    </w:p>
    <w:p w14:paraId="7FAD1407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B519D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Wynagrodzenie za przeniesienie autorskich praw majątkowych jest zawarte w wynagrodzeniu, które określa § 10 ust.1 umowy.</w:t>
      </w:r>
    </w:p>
    <w:p w14:paraId="49E6AEBF" w14:textId="77777777" w:rsidR="002C095D" w:rsidRPr="00B519D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B519D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B519D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B519D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</w:rPr>
      </w:pPr>
      <w:r w:rsidRPr="00B519D3">
        <w:rPr>
          <w:rFonts w:ascii="Cambria" w:hAnsi="Cambria"/>
          <w:color w:val="auto"/>
          <w:sz w:val="20"/>
          <w:szCs w:val="20"/>
        </w:rPr>
        <w:t>Wykonawca w oparciu o wykaz sprzętu  do systemu monitorowania warunków mikroklimatycznych wyposażonych w radiowe czujniki zew. temperatury i wilgotności, jednostkę kontrolującą urządzenia 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7E6F34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7E6F34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7E6F34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B519D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B519D3" w:rsidRDefault="00970FA2" w:rsidP="00B519D3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B519D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B519D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B519D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B519D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B519D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B519D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póź. zmian.) a  zgodnie z art. 10 ustawy z dnia 7 lipca 1994 roku Prawo Budowlane (tekst jednolity </w:t>
      </w:r>
      <w:r w:rsidRPr="00B519D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bCs/>
          <w:color w:val="auto"/>
          <w:sz w:val="20"/>
          <w:szCs w:val="20"/>
          <w:lang w:eastAsia="pl-PL"/>
        </w:rPr>
        <w:t>z póź. zmian</w:t>
      </w:r>
      <w:r w:rsidRPr="00B519D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B519D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B519D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B519D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>wykona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na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B519D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7201CDF" w:rsidR="002C095D" w:rsidRPr="00B519D3" w:rsidRDefault="00970FA2" w:rsidP="00A44632">
      <w:pPr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lastRenderedPageBreak/>
        <w:t>Wykonawca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niż </w:t>
      </w:r>
      <w:r w:rsidR="00A44632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20 000</w:t>
      </w:r>
      <w:r w:rsidR="006B4D60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 </w:t>
      </w:r>
      <w:r w:rsidR="00A44632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000</w:t>
      </w:r>
      <w:r w:rsidR="006B4D60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,00 zł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 z tytułu szkód, które mogą zaistnieć w okresie od rozpoczęcia robót do przekazania przedmiotu umowy </w:t>
      </w:r>
      <w:r w:rsidRPr="00B519D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Zamawiającemu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ryzyk</w:t>
      </w:r>
      <w:proofErr w:type="spellEnd"/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5FAC715E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B519D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B519D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B519D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B519D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B519D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B519D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B519D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11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color w:val="auto"/>
          <w:sz w:val="20"/>
          <w:szCs w:val="20"/>
        </w:rPr>
        <w:lastRenderedPageBreak/>
        <w:t>1</w:t>
      </w:r>
      <w:r w:rsidRPr="00B519D3">
        <w:rPr>
          <w:rFonts w:ascii="Cambria" w:hAnsi="Cambria"/>
          <w:color w:val="auto"/>
          <w:sz w:val="20"/>
          <w:szCs w:val="20"/>
        </w:rPr>
        <w:t>.</w:t>
      </w:r>
      <w:r w:rsidRPr="00B519D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B519D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% </w:t>
      </w:r>
      <w:r w:rsidRPr="00B519D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2.</w:t>
      </w:r>
      <w:r w:rsidRPr="00B519D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3.</w:t>
      </w:r>
      <w:r w:rsidRPr="00B519D3">
        <w:rPr>
          <w:rFonts w:ascii="Cambria" w:hAnsi="Cambria"/>
          <w:color w:val="auto"/>
          <w:sz w:val="20"/>
          <w:szCs w:val="20"/>
        </w:rPr>
        <w:tab/>
        <w:t>F</w:t>
      </w:r>
      <w:r w:rsidRPr="00B519D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B519D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4.</w:t>
      </w:r>
      <w:r w:rsidRPr="00B519D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5.</w:t>
      </w:r>
      <w:r w:rsidRPr="00B519D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B519D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B519D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lastRenderedPageBreak/>
        <w:t>§ 13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dokument stwierdzający zabezpieczenie należytego wykonania przedmiotu zamówienia.</w:t>
      </w:r>
    </w:p>
    <w:p w14:paraId="3FB3726A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 xml:space="preserve">10 % </w:t>
      </w:r>
      <w:r w:rsidRPr="00B519D3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p w14:paraId="623934A8" w14:textId="77777777" w:rsidR="002C095D" w:rsidRPr="00B519D3" w:rsidRDefault="00970FA2">
      <w:pPr>
        <w:spacing w:after="120" w:line="276" w:lineRule="auto"/>
        <w:ind w:left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B519D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Zabezpieczeniem należytego wykonania przedmiotu umowy jest 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B519D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B519D3" w:rsidRDefault="00970FA2">
      <w:p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3E55F5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3E55F5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3E55F5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3E55F5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3E55F5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3E55F5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3E55F5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dokument potwierdzający gotowość do odbioru potwierdzony wpisem kierownika budowy i inspektora nadzoru, który składa poza ww. wpisem odrębne oświadczenie stwierdzające, że prace objęte umową zostały zakończone i wykonane zgodnie z zawartą umową </w:t>
      </w:r>
      <w:r>
        <w:rPr>
          <w:rFonts w:ascii="Cambria" w:hAnsi="Cambria" w:cs="Arial"/>
          <w:color w:val="auto"/>
          <w:sz w:val="20"/>
          <w:szCs w:val="20"/>
        </w:rPr>
        <w:t>i</w:t>
      </w:r>
      <w:r w:rsidRPr="003E55F5">
        <w:rPr>
          <w:rFonts w:ascii="Cambria" w:hAnsi="Cambria" w:cs="Arial"/>
          <w:color w:val="auto"/>
          <w:sz w:val="20"/>
          <w:szCs w:val="20"/>
        </w:rPr>
        <w:t xml:space="preserve"> wskazuje na niezakończenie.</w:t>
      </w:r>
    </w:p>
    <w:p w14:paraId="6E30768A" w14:textId="5975E1B8" w:rsidR="002C095D" w:rsidRPr="003E55F5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3E55F5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3E55F5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CF5816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CF5816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CF5816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CF5816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CF5816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CF5816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CF5816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CF5816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B519D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B519D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B519D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B519D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B519D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5666F6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</w:rPr>
      </w:pPr>
      <w:r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prób, badań i pomiarów kontrolnych oraz badań i oznaczeń laboratoryjnych; </w:t>
      </w:r>
      <w:r>
        <w:rPr>
          <w:rFonts w:ascii="Cambria" w:hAnsi="Cambria" w:cs="Calibri"/>
          <w:sz w:val="22"/>
          <w:szCs w:val="22"/>
        </w:rPr>
        <w:t>K</w:t>
      </w:r>
      <w:r>
        <w:rPr>
          <w:rFonts w:ascii="Cambria" w:hAnsi="Cambria" w:cs="Calibri"/>
          <w:sz w:val="20"/>
          <w:szCs w:val="20"/>
        </w:rPr>
        <w:t xml:space="preserve">omplet dokumentów potwierdzających dopuszczenie do obrotu i stosowania w budownictwie na materiały i urządzenia, </w:t>
      </w:r>
      <w:r>
        <w:rPr>
          <w:rFonts w:ascii="Cambria" w:hAnsi="Cambria" w:cs="Calibri"/>
          <w:sz w:val="20"/>
          <w:szCs w:val="20"/>
        </w:rPr>
        <w:lastRenderedPageBreak/>
        <w:t xml:space="preserve">w tym: aprobaty techniczne, deklaracje zgodności, świadectwa, jakości i atesty; Wymagane instrukcje </w:t>
      </w:r>
      <w:r w:rsidRPr="005666F6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5666F6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</w:rPr>
      </w:pPr>
      <w:r w:rsidRPr="005666F6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B519D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B519D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Dokumentacji powykonawczej przeprowadzonych prac konserwatorskich w formie pisemnej, rysunkowej i fotograficznej. (w tym skanowanie laserowe i wykonanie </w:t>
      </w:r>
      <w:proofErr w:type="spellStart"/>
      <w:r w:rsidRPr="00B519D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B519D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5666F6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Instrukcję eksploatacji i konserwacji obiektu</w:t>
      </w:r>
    </w:p>
    <w:p w14:paraId="1451AF6B" w14:textId="41D4E5DC" w:rsidR="005666F6" w:rsidRPr="007E6F34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7E6F34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CF5816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CF5816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CF5816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CF5816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CF5816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</w:rPr>
      </w:pPr>
      <w:r w:rsidRPr="00CF5816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CF5816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B519D3" w:rsidRDefault="00970FA2">
      <w:pPr>
        <w:tabs>
          <w:tab w:val="left" w:pos="426"/>
        </w:tabs>
        <w:spacing w:after="60" w:line="276" w:lineRule="auto"/>
        <w:ind w:left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B519D3" w:rsidRDefault="00970FA2">
      <w:pPr>
        <w:tabs>
          <w:tab w:val="left" w:pos="426"/>
        </w:tabs>
        <w:spacing w:after="120" w:line="276" w:lineRule="auto"/>
        <w:ind w:left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CF5816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CF5816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B519D3" w:rsidRDefault="00970FA2">
      <w:pPr>
        <w:tabs>
          <w:tab w:val="left" w:pos="3119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B519D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B519D3" w:rsidRDefault="00970FA2">
      <w:p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lastRenderedPageBreak/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O wykryciu wady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B519D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B519D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poinformuje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wyznacza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razie nie usunięcia, przez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Jeżeli wady uniemożliwiają użytkowanie przedmiotu umowy zgodnie z jego przeznaczeniem,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może obniżyć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B519D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19</w:t>
      </w:r>
      <w:r w:rsidRPr="00B519D3">
        <w:rPr>
          <w:rFonts w:ascii="Cambria" w:hAnsi="Cambria" w:cs="Cambria"/>
          <w:b/>
          <w:bCs/>
          <w:color w:val="auto"/>
          <w:sz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6574D9F9" w:rsidR="002C095D" w:rsidRPr="00B519D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1.  </w:t>
      </w:r>
      <w:bookmarkStart w:id="3" w:name="_Hlk3295006"/>
      <w:r w:rsidRPr="00B519D3">
        <w:rPr>
          <w:rFonts w:ascii="Cambria" w:hAnsi="Cambria" w:cs="Arial"/>
          <w:color w:val="auto"/>
          <w:sz w:val="20"/>
          <w:szCs w:val="20"/>
        </w:rPr>
        <w:t xml:space="preserve">Na zasadach określonych w niniejszej umowie, niezależnie od udzielonej rękojmi na okres 60 miesięcy Wykonawca udziela Zamawiającemu </w:t>
      </w:r>
      <w:r w:rsidR="00BB3803">
        <w:rPr>
          <w:rFonts w:ascii="Cambria" w:hAnsi="Cambria" w:cs="Arial"/>
          <w:color w:val="auto"/>
          <w:sz w:val="20"/>
          <w:szCs w:val="20"/>
        </w:rPr>
        <w:t>36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miesięcznej gwarancji jakości wykonanych prac</w:t>
      </w:r>
      <w:r w:rsidR="00BB3803">
        <w:rPr>
          <w:rFonts w:ascii="Cambria" w:hAnsi="Cambria" w:cs="Arial"/>
          <w:color w:val="auto"/>
          <w:sz w:val="20"/>
          <w:szCs w:val="20"/>
        </w:rPr>
        <w:t xml:space="preserve"> z zastrzeżeniem, że dla urządzeń i sprzętu  </w:t>
      </w:r>
      <w:r w:rsidR="00BB3803" w:rsidRPr="00BB3803">
        <w:rPr>
          <w:rFonts w:ascii="Cambria" w:hAnsi="Cambria"/>
          <w:sz w:val="20"/>
          <w:szCs w:val="20"/>
        </w:rPr>
        <w:t xml:space="preserve">okres gwarancji jakości będzie równy okresowi gwarancji producenta, jednak nie mniej niż 24 (dwadzieścia cztery) miesiące od daty </w:t>
      </w:r>
      <w:r w:rsidR="00BB3803">
        <w:rPr>
          <w:rFonts w:ascii="Cambria" w:hAnsi="Cambria"/>
          <w:sz w:val="20"/>
          <w:szCs w:val="20"/>
        </w:rPr>
        <w:t xml:space="preserve">końcowego odbioru. </w:t>
      </w:r>
      <w:bookmarkEnd w:id="3"/>
    </w:p>
    <w:p w14:paraId="699D81E9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B519D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4" w:name="_Toc415435792"/>
      <w:r w:rsidRPr="00B519D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4"/>
      <w:r w:rsidRPr="00B519D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B519D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B519D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B519D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6.     Gwarancja jakości:</w:t>
      </w:r>
    </w:p>
    <w:p w14:paraId="6BFCCD9E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lastRenderedPageBreak/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Szczegółowe warunki gwarancji zostały określone we wzorze dokumentu gwarancyjnego stanowiącego załącznik do niniejszej umowy.</w:t>
      </w:r>
    </w:p>
    <w:p w14:paraId="47AD42B2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Wykonawca będzie usuwał wady (usterki) w okresie odpowiedzialności swoim kosztem i staraniem.</w:t>
      </w:r>
    </w:p>
    <w:p w14:paraId="32044FC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B519D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B519D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 xml:space="preserve">za odstąpienie od umowy przez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B519D3">
        <w:rPr>
          <w:rFonts w:ascii="Cambria" w:hAnsi="Cambria" w:cs="Cambria"/>
          <w:color w:val="auto"/>
          <w:sz w:val="20"/>
        </w:rPr>
        <w:t xml:space="preserve">zapłaci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B519D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 zwłokę w przekazaniu placu budowy w wysokości 0,1 % wynagrodzenia brutto określonego w § 10 ust. 1 umowy, za każdy dzień zwłoki</w:t>
      </w:r>
    </w:p>
    <w:p w14:paraId="5BF62F6A" w14:textId="77777777" w:rsidR="002C095D" w:rsidRPr="00B519D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B519D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21</w:t>
      </w:r>
      <w:r w:rsidRPr="00B519D3">
        <w:rPr>
          <w:rFonts w:ascii="Cambria" w:hAnsi="Cambria" w:cs="Cambria"/>
          <w:b/>
          <w:bCs/>
          <w:color w:val="auto"/>
          <w:sz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B519D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sz w:val="20"/>
        </w:rPr>
        <w:t xml:space="preserve">zostanie zajęty cały majątek </w:t>
      </w:r>
      <w:r w:rsidRPr="001B50AB">
        <w:rPr>
          <w:rFonts w:ascii="Cambria" w:hAnsi="Cambria" w:cs="Arial"/>
          <w:b/>
          <w:bCs/>
          <w:sz w:val="20"/>
        </w:rPr>
        <w:t>Wykonawcy;</w:t>
      </w:r>
    </w:p>
    <w:p w14:paraId="053F4EE4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b/>
          <w:bCs/>
          <w:sz w:val="20"/>
        </w:rPr>
        <w:t xml:space="preserve">Wykonawca </w:t>
      </w:r>
      <w:r w:rsidRPr="001B50AB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1B50AB">
        <w:rPr>
          <w:rFonts w:ascii="Cambria" w:hAnsi="Cambria" w:cs="Arial"/>
          <w:b/>
          <w:bCs/>
          <w:sz w:val="20"/>
        </w:rPr>
        <w:t>Zamawiającego;</w:t>
      </w:r>
    </w:p>
    <w:p w14:paraId="68C22D2F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bCs/>
          <w:sz w:val="20"/>
        </w:rPr>
        <w:t>Wykonawca pozostaje w opóźnieniu więcej niż 10 dni z realizacją harmonogramu finansowo rzeczowego</w:t>
      </w:r>
      <w:r w:rsidRPr="001B50AB">
        <w:rPr>
          <w:rFonts w:ascii="Cambria" w:hAnsi="Cambria" w:cs="Arial"/>
          <w:sz w:val="20"/>
        </w:rPr>
        <w:t>.</w:t>
      </w:r>
    </w:p>
    <w:p w14:paraId="7C4C524A" w14:textId="77777777" w:rsidR="00CF5816" w:rsidRPr="00CF5816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B50AB">
        <w:rPr>
          <w:rFonts w:ascii="Cambria" w:hAnsi="Cambria" w:cs="Arial"/>
          <w:sz w:val="20"/>
        </w:rPr>
        <w:t xml:space="preserve">Konieczność dwukrotnego dokonywania bezpośredniej zapłaty podwykonawcy lub dalszemu podwykonawcy, lub konieczność dokonania bezpośrednich zapłat na sumę większą niż 5% wartości </w:t>
      </w:r>
      <w:r w:rsidRPr="00CF5816">
        <w:rPr>
          <w:rFonts w:ascii="Cambria" w:hAnsi="Cambria" w:cs="Arial"/>
          <w:sz w:val="20"/>
        </w:rPr>
        <w:t>umowy – w terminie 14 dni od dokonania drugiej płatności</w:t>
      </w:r>
      <w:r w:rsidRPr="00CF5816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CF5816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CF5816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0E90CA02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CF5816">
        <w:rPr>
          <w:rFonts w:ascii="Cambria" w:hAnsi="Cambria" w:cs="Cambria"/>
          <w:b/>
          <w:bCs/>
          <w:color w:val="auto"/>
          <w:sz w:val="20"/>
        </w:rPr>
        <w:lastRenderedPageBreak/>
        <w:t xml:space="preserve">Wykonawcy </w:t>
      </w:r>
      <w:r w:rsidRPr="00CF5816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CF5816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CF5816">
        <w:rPr>
          <w:rFonts w:ascii="Cambria" w:hAnsi="Cambria" w:cs="Cambria"/>
          <w:color w:val="auto"/>
          <w:sz w:val="20"/>
        </w:rPr>
        <w:t>nie</w:t>
      </w:r>
      <w:r w:rsidRPr="00B519D3">
        <w:rPr>
          <w:rFonts w:ascii="Cambria" w:hAnsi="Cambria" w:cs="Cambria"/>
          <w:color w:val="auto"/>
          <w:sz w:val="20"/>
        </w:rPr>
        <w:t xml:space="preserve"> przystąpił do odbioru końcowego, bezpodstawnie odmawia dokonania odbioru robót lub odmawia podpisania protokołu odbioru.</w:t>
      </w:r>
    </w:p>
    <w:p w14:paraId="63A26B31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Odstąpienie od umowy powinno nastąpić w formie pisemnej pod rygorem nieważności takiego oświadczenia i powinno zawierać uzasadnienie.</w:t>
      </w:r>
    </w:p>
    <w:p w14:paraId="68F7270B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 oraz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przy udziale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B519D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B519D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razie odstąpienia od umowy z przyczyn niezależnych od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B519D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B519D3">
        <w:rPr>
          <w:rFonts w:ascii="Cambria" w:hAnsi="Cambria" w:cs="Cambria"/>
          <w:b/>
          <w:color w:val="auto"/>
          <w:sz w:val="20"/>
        </w:rPr>
        <w:t>,</w:t>
      </w:r>
      <w:r w:rsidRPr="00B519D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B519D3">
        <w:rPr>
          <w:rFonts w:ascii="Cambria" w:hAnsi="Cambria" w:cs="Cambria"/>
          <w:bCs/>
          <w:color w:val="auto"/>
          <w:sz w:val="20"/>
        </w:rPr>
        <w:t>Dz. U. z</w:t>
      </w:r>
      <w:r w:rsidRPr="00B519D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B519D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B519D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B519D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B519D3">
        <w:rPr>
          <w:rFonts w:ascii="Cambria" w:hAnsi="Cambria" w:cs="Cambria"/>
          <w:color w:val="auto"/>
          <w:spacing w:val="-4"/>
          <w:sz w:val="20"/>
        </w:rPr>
        <w:t>. zm.</w:t>
      </w:r>
      <w:r w:rsidRPr="00B519D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B519D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B519D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B519D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</w:rPr>
        <w:t xml:space="preserve">i 1 dla </w:t>
      </w:r>
      <w:r w:rsidRPr="00B519D3">
        <w:rPr>
          <w:rFonts w:ascii="Cambria" w:hAnsi="Cambria" w:cs="Cambria"/>
          <w:b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B519D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B519D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ZAMAWIAJĄCY:</w:t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B519D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B519D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KARTA GWARANCYJNA</w:t>
      </w:r>
    </w:p>
    <w:p w14:paraId="5A483446" w14:textId="77777777" w:rsidR="002C095D" w:rsidRPr="00B519D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Przedmiot i termin gwarancji</w:t>
      </w:r>
    </w:p>
    <w:p w14:paraId="7C72708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B519D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B519D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lastRenderedPageBreak/>
        <w:t>c) szkód wynikłych z winy Użytkownika.</w:t>
      </w:r>
    </w:p>
    <w:p w14:paraId="7AF0BAF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B519D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B519D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B519D3">
        <w:rPr>
          <w:color w:val="auto"/>
          <w:sz w:val="20"/>
          <w:szCs w:val="20"/>
        </w:rPr>
        <w:t xml:space="preserve"> </w:t>
      </w:r>
      <w:r w:rsidRPr="00B519D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lastRenderedPageBreak/>
        <w:t>Komunikacja</w:t>
      </w:r>
    </w:p>
    <w:p w14:paraId="2024719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Wszelka komunikacja pomiędzy stronami wymaga zachowania formy pisemnej.</w:t>
      </w:r>
    </w:p>
    <w:p w14:paraId="31266AA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B519D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B519D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B519D3" w:rsidRDefault="00970FA2">
      <w:pPr>
        <w:spacing w:line="276" w:lineRule="auto"/>
        <w:rPr>
          <w:color w:val="auto"/>
          <w:sz w:val="18"/>
          <w:szCs w:val="18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B519D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Postanowienia końcowe</w:t>
      </w:r>
    </w:p>
    <w:p w14:paraId="5D3726D8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b/>
          <w:color w:val="auto"/>
          <w:sz w:val="20"/>
          <w:szCs w:val="20"/>
        </w:rPr>
        <w:tab/>
      </w:r>
      <w:r w:rsidRPr="00B519D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B519D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B519D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B519D3" w:rsidRDefault="002C095D">
      <w:pPr>
        <w:rPr>
          <w:color w:val="auto"/>
        </w:rPr>
      </w:pPr>
    </w:p>
    <w:sectPr w:rsidR="002C095D" w:rsidRPr="00B519D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EDC0" w14:textId="77777777" w:rsidR="004A2215" w:rsidRDefault="004A2215">
      <w:pPr>
        <w:spacing w:after="0" w:line="240" w:lineRule="auto"/>
      </w:pPr>
      <w:r>
        <w:separator/>
      </w:r>
    </w:p>
  </w:endnote>
  <w:endnote w:type="continuationSeparator" w:id="0">
    <w:p w14:paraId="710C2A63" w14:textId="77777777" w:rsidR="004A2215" w:rsidRDefault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7A58C19D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2E5E6A">
      <w:rPr>
        <w:noProof/>
      </w:rPr>
      <w:t>11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2E5E6A">
      <w:rPr>
        <w:noProof/>
      </w:rPr>
      <w:t>18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13A" w14:textId="77777777" w:rsidR="004A2215" w:rsidRDefault="004A2215">
      <w:pPr>
        <w:spacing w:after="0" w:line="240" w:lineRule="auto"/>
      </w:pPr>
      <w:r>
        <w:separator/>
      </w:r>
    </w:p>
  </w:footnote>
  <w:footnote w:type="continuationSeparator" w:id="0">
    <w:p w14:paraId="016EEA13" w14:textId="77777777" w:rsidR="004A2215" w:rsidRDefault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6" w:name="_Hlk1469964"/>
    <w:bookmarkStart w:id="7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"/>
  <w:bookmarkEnd w:id="7"/>
  <w:p w14:paraId="40D91D4F" w14:textId="4B9593EB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8" w:name="_Hlk536706788"/>
    <w:bookmarkEnd w:id="8"/>
    <w:r>
      <w:rPr>
        <w:rFonts w:ascii="Cambria" w:hAnsi="Cambria"/>
        <w:b/>
        <w:sz w:val="20"/>
        <w:szCs w:val="20"/>
      </w:rPr>
      <w:t>AZP 261.2.</w:t>
    </w:r>
    <w:r w:rsidR="00867B9E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1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0"/>
  </w:num>
  <w:num w:numId="5">
    <w:abstractNumId w:val="38"/>
  </w:num>
  <w:num w:numId="6">
    <w:abstractNumId w:val="40"/>
  </w:num>
  <w:num w:numId="7">
    <w:abstractNumId w:val="39"/>
  </w:num>
  <w:num w:numId="8">
    <w:abstractNumId w:val="45"/>
  </w:num>
  <w:num w:numId="9">
    <w:abstractNumId w:val="27"/>
  </w:num>
  <w:num w:numId="10">
    <w:abstractNumId w:val="22"/>
  </w:num>
  <w:num w:numId="11">
    <w:abstractNumId w:val="46"/>
  </w:num>
  <w:num w:numId="12">
    <w:abstractNumId w:val="7"/>
  </w:num>
  <w:num w:numId="13">
    <w:abstractNumId w:val="18"/>
  </w:num>
  <w:num w:numId="14">
    <w:abstractNumId w:val="33"/>
  </w:num>
  <w:num w:numId="15">
    <w:abstractNumId w:val="48"/>
  </w:num>
  <w:num w:numId="16">
    <w:abstractNumId w:val="37"/>
  </w:num>
  <w:num w:numId="17">
    <w:abstractNumId w:val="23"/>
  </w:num>
  <w:num w:numId="18">
    <w:abstractNumId w:val="28"/>
  </w:num>
  <w:num w:numId="19">
    <w:abstractNumId w:val="3"/>
  </w:num>
  <w:num w:numId="20">
    <w:abstractNumId w:val="32"/>
  </w:num>
  <w:num w:numId="21">
    <w:abstractNumId w:val="29"/>
  </w:num>
  <w:num w:numId="22">
    <w:abstractNumId w:val="42"/>
  </w:num>
  <w:num w:numId="23">
    <w:abstractNumId w:val="34"/>
  </w:num>
  <w:num w:numId="24">
    <w:abstractNumId w:val="35"/>
  </w:num>
  <w:num w:numId="25">
    <w:abstractNumId w:val="21"/>
  </w:num>
  <w:num w:numId="26">
    <w:abstractNumId w:val="17"/>
  </w:num>
  <w:num w:numId="27">
    <w:abstractNumId w:val="10"/>
  </w:num>
  <w:num w:numId="28">
    <w:abstractNumId w:val="43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6"/>
  </w:num>
  <w:num w:numId="36">
    <w:abstractNumId w:val="4"/>
  </w:num>
  <w:num w:numId="37">
    <w:abstractNumId w:val="41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4"/>
  </w:num>
  <w:num w:numId="43">
    <w:abstractNumId w:val="36"/>
  </w:num>
  <w:num w:numId="44">
    <w:abstractNumId w:val="30"/>
  </w:num>
  <w:num w:numId="45">
    <w:abstractNumId w:val="47"/>
  </w:num>
  <w:num w:numId="46">
    <w:abstractNumId w:val="11"/>
  </w:num>
  <w:num w:numId="47">
    <w:abstractNumId w:val="0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5D"/>
    <w:rsid w:val="00045773"/>
    <w:rsid w:val="000530E0"/>
    <w:rsid w:val="00135BB1"/>
    <w:rsid w:val="002C095D"/>
    <w:rsid w:val="002E5E6A"/>
    <w:rsid w:val="0036117D"/>
    <w:rsid w:val="00364EBF"/>
    <w:rsid w:val="003E55F5"/>
    <w:rsid w:val="004A2215"/>
    <w:rsid w:val="004C45E0"/>
    <w:rsid w:val="00542407"/>
    <w:rsid w:val="005666F6"/>
    <w:rsid w:val="00600848"/>
    <w:rsid w:val="006B4D60"/>
    <w:rsid w:val="00790EBB"/>
    <w:rsid w:val="007D0DF3"/>
    <w:rsid w:val="007E6F34"/>
    <w:rsid w:val="00867B9E"/>
    <w:rsid w:val="00970FA2"/>
    <w:rsid w:val="00A44632"/>
    <w:rsid w:val="00A63FFD"/>
    <w:rsid w:val="00AA3F9A"/>
    <w:rsid w:val="00B519D3"/>
    <w:rsid w:val="00B836FB"/>
    <w:rsid w:val="00BB3803"/>
    <w:rsid w:val="00C923B2"/>
    <w:rsid w:val="00CF5816"/>
    <w:rsid w:val="00D30701"/>
    <w:rsid w:val="00E34962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DA30-649A-4026-8DF5-D0E0E282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6787</Words>
  <Characters>40727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TM</cp:lastModifiedBy>
  <cp:revision>14</cp:revision>
  <cp:lastPrinted>2018-03-02T13:41:00Z</cp:lastPrinted>
  <dcterms:created xsi:type="dcterms:W3CDTF">2019-02-14T14:06:00Z</dcterms:created>
  <dcterms:modified xsi:type="dcterms:W3CDTF">2019-03-28T08:13:00Z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